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您应仔细阅读理财计划风险揭示书、理财计划产品说明书、投资者权益须知、理财计划投资协议书、理财计划销售协议书全部条款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Times New Roman" w:cs="宋体"/>
          <w:bCs/>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添益2009期理财计划产品说明书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Z7002221000093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杭银理财幸福99半年添益2009期理财计划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Style w:val="16"/>
          <w:rFonts w:hint="eastAsia" w:ascii="宋体" w:hAnsi="宋体"/>
          <w:sz w:val="21"/>
          <w:szCs w:val="21"/>
        </w:rPr>
        <w:fldChar w:fldCharType="end"/>
      </w:r>
      <w:r>
        <w:rPr>
          <w:rFonts w:hint="eastAsia" w:ascii="宋体" w:hAnsi="宋体" w:cs="宋体"/>
          <w:sz w:val="21"/>
          <w:szCs w:val="21"/>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半年添益2009期理财计划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w:t>
            </w:r>
            <w:r>
              <w:rPr>
                <w:rFonts w:hint="eastAsia" w:ascii="宋体" w:hAnsi="宋体" w:cs="宋体"/>
                <w:color w:val="000000"/>
                <w:kern w:val="0"/>
              </w:rPr>
              <w:t>2020</w:t>
            </w:r>
            <w:r>
              <w:rPr>
                <w:rFonts w:ascii="宋体" w:hAnsi="宋体" w:cs="宋体"/>
                <w:color w:val="000000"/>
                <w:kern w:val="0"/>
              </w:rPr>
              <w:t>000</w:t>
            </w:r>
            <w:r>
              <w:rPr>
                <w:rFonts w:hint="eastAsia" w:ascii="宋体" w:hAnsi="宋体" w:cs="宋体"/>
                <w:color w:val="000000"/>
                <w:kern w:val="0"/>
              </w:rPr>
              <w:t>330，</w:t>
            </w:r>
            <w:r>
              <w:rPr>
                <w:rFonts w:hint="eastAsia" w:ascii="宋体" w:hAnsi="宋体" w:cs="宋体"/>
              </w:rPr>
              <w:t>变更登记后为〖Z7002221000093〗。</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2020年3月17日至2020年3月24日。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首次开放期为2020年9月16日至2020年9月22日，首个确认日为2020年9月23日。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+2.75%。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0%作为浮动管理费，每个开放期结束后收取；本理财产品投资周期年化收益率若小于或等于业绩比较基准上限则不收取浮动管理费。具体计算方法如下：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示例一：扣除托管费、固定管理费和销售手续费后，投资收益率超越业绩比较基准上限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部分的80%作为浮动管理费，产品业绩比较基准上限为5.60%，期间无分红。赎回时扣除增值税、托管费、销售手续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示例二：扣除托管费、固定管理费和销售手续费后，投资收益率未达到业绩比较基准上限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理财计划合同的订立、生效、履行、解释、修改和终止等事项的适用法律和争议解决方式按照《理财协议书》的相关约定执行。</w:t>
      </w:r>
    </w:p>
    <w:p>
      <w:pPr>
        <w:spacing w:line="360" w:lineRule="auto"/>
        <w:jc w:val="center"/>
        <w:rPr>
          <w:rFonts w:ascii="宋体" w:hAnsi="宋体"/>
          <w:b/>
          <w:bCs/>
          <w:color w:val="000000"/>
          <w:sz w:val="32"/>
          <w:szCs w:val="32"/>
        </w:rPr>
      </w:pPr>
      <w:r>
        <w:rPr>
          <w:rFonts w:hint="eastAsia"/>
          <w:b/>
          <w:sz w:val="32"/>
          <w:szCs w:val="32"/>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和理财计划投资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产品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ascii="Times New Roman" w:hAnsi="Times New Roman"/>
        </w:rPr>
      </w:pPr>
      <w:r>
        <w:rPr>
          <w:rFonts w:hint="eastAsia" w:ascii="宋体" w:hAnsi="宋体"/>
          <w:kern w:val="0"/>
        </w:rPr>
        <w:t>若上述联系方式变更，杭银理财将提前通过原官方网站及时告知投资者</w:t>
      </w:r>
      <w:bookmarkStart w:id="3" w:name="_GoBack"/>
      <w:bookmarkEnd w:id="3"/>
    </w:p>
    <w:p>
      <w:pPr>
        <w:jc w:val="center"/>
        <w:rPr>
          <w:b/>
          <w:sz w:val="32"/>
          <w:szCs w:val="32"/>
        </w:rPr>
      </w:pPr>
      <w:r>
        <w:rPr>
          <w:rFonts w:hint="eastAsia"/>
          <w:b/>
          <w:sz w:val="32"/>
          <w:szCs w:val="32"/>
        </w:rPr>
        <w:br w:type="page"/>
      </w:r>
      <w:r>
        <w:rPr>
          <w:rFonts w:hint="eastAsia"/>
          <w:b/>
          <w:sz w:val="32"/>
          <w:szCs w:val="32"/>
        </w:rPr>
        <w:t>杭银理财理财计划投资协议书</w:t>
      </w:r>
    </w:p>
    <w:p>
      <w:pPr>
        <w:jc w:val="center"/>
        <w:rPr>
          <w:b/>
        </w:rPr>
      </w:pPr>
      <w:r>
        <w:rPr>
          <w:rFonts w:hint="eastAsia" w:ascii="宋体" w:hAnsi="宋体" w:cs="宋体"/>
        </w:rPr>
        <w:t>（202101版）</w:t>
      </w:r>
    </w:p>
    <w:p>
      <w:pPr>
        <w:jc w:val="center"/>
        <w:rPr>
          <w:b/>
        </w:rPr>
      </w:pPr>
    </w:p>
    <w:p>
      <w:pPr>
        <w:spacing w:line="360" w:lineRule="auto"/>
        <w:ind w:firstLine="422" w:firstLineChars="200"/>
        <w:rPr>
          <w:b/>
          <w:bCs/>
        </w:rPr>
      </w:pPr>
      <w:r>
        <w:rPr>
          <w:rFonts w:hint="eastAsia"/>
          <w:b/>
          <w:bCs/>
        </w:rPr>
        <w:t>特别提示：杭银理财理财计划投资协议书与</w:t>
      </w:r>
      <w:r>
        <w:rPr>
          <w:rFonts w:hint="eastAsia" w:cs="黑体" w:asciiTheme="minorEastAsia" w:hAnsiTheme="minorEastAsia" w:eastAsiaTheme="minorEastAsia"/>
          <w:b/>
          <w:bCs/>
        </w:rPr>
        <w:t>杭银理财理财计划销售协议书、</w:t>
      </w:r>
      <w:r>
        <w:rPr>
          <w:rFonts w:hint="eastAsia"/>
          <w:b/>
          <w:bCs/>
        </w:rPr>
        <w:t>投资者权益须知、风险揭示书及理财计划产品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pPr>
      <w:r>
        <w:rPr>
          <w:rFonts w:hint="eastAsia"/>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cs="宋体"/>
          <w:b/>
          <w:bCs/>
        </w:rPr>
      </w:pPr>
      <w:r>
        <w:rPr>
          <w:rFonts w:hint="eastAsia" w:ascii="宋体" w:hAnsi="宋体" w:cs="宋体"/>
          <w:b/>
          <w:bCs/>
        </w:rPr>
        <w:t>名词释义</w:t>
      </w:r>
    </w:p>
    <w:p>
      <w:pPr>
        <w:spacing w:line="360" w:lineRule="auto"/>
        <w:ind w:firstLine="420" w:firstLineChars="200"/>
        <w:rPr>
          <w:rFonts w:ascii="宋体" w:hAnsi="宋体" w:cs="宋体"/>
          <w:bCs/>
        </w:rPr>
      </w:pPr>
      <w:r>
        <w:rPr>
          <w:rFonts w:hint="eastAsia" w:ascii="宋体" w:hAnsi="宋体" w:cs="宋体"/>
          <w:bCs/>
        </w:rPr>
        <w:t>详见理财计划产品说明书“释义”部分。</w:t>
      </w:r>
    </w:p>
    <w:p>
      <w:pPr>
        <w:spacing w:line="360" w:lineRule="auto"/>
        <w:ind w:firstLine="420" w:firstLineChars="200"/>
        <w:rPr>
          <w:rFonts w:ascii="宋体" w:hAnsi="宋体" w:cs="宋体"/>
          <w:bCs/>
        </w:rPr>
      </w:pPr>
    </w:p>
    <w:p>
      <w:pPr>
        <w:numPr>
          <w:ilvl w:val="0"/>
          <w:numId w:val="26"/>
        </w:numPr>
        <w:spacing w:line="360" w:lineRule="auto"/>
        <w:ind w:firstLine="422" w:firstLineChars="200"/>
        <w:rPr>
          <w:rFonts w:ascii="宋体" w:hAnsi="宋体" w:cs="宋体"/>
          <w:b/>
        </w:rPr>
      </w:pPr>
      <w:r>
        <w:rPr>
          <w:rFonts w:hint="eastAsia" w:ascii="宋体" w:hAnsi="宋体" w:cs="宋体"/>
          <w:b/>
        </w:rPr>
        <w:t>投资者权利与义务</w:t>
      </w:r>
    </w:p>
    <w:p>
      <w:pPr>
        <w:widowControl/>
        <w:numPr>
          <w:ilvl w:val="0"/>
          <w:numId w:val="27"/>
        </w:numPr>
        <w:spacing w:line="360" w:lineRule="auto"/>
        <w:contextualSpacing/>
        <w:rPr>
          <w:rFonts w:ascii="宋体" w:hAnsi="宋体" w:cs="宋体"/>
        </w:rPr>
      </w:pPr>
      <w:r>
        <w:rPr>
          <w:rFonts w:hint="eastAsia" w:ascii="宋体" w:hAnsi="宋体" w:cs="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cs="宋体"/>
        </w:rPr>
      </w:pPr>
      <w:r>
        <w:rPr>
          <w:rFonts w:hint="eastAsia" w:ascii="宋体" w:hAnsi="宋体" w:cs="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cs="宋体"/>
        </w:rPr>
      </w:pPr>
      <w:r>
        <w:rPr>
          <w:rFonts w:hint="eastAsia" w:ascii="宋体" w:hAnsi="宋体" w:cs="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cs="宋体"/>
        </w:rPr>
      </w:pPr>
      <w:r>
        <w:rPr>
          <w:rFonts w:hint="eastAsia" w:ascii="宋体" w:hAnsi="宋体" w:cs="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cs="宋体"/>
        </w:rPr>
      </w:pPr>
      <w:r>
        <w:rPr>
          <w:rFonts w:hint="eastAsia" w:ascii="宋体" w:hAnsi="宋体" w:cs="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cs="宋体"/>
        </w:rPr>
      </w:pPr>
      <w:r>
        <w:rPr>
          <w:rFonts w:hint="eastAsia" w:ascii="宋体" w:hAnsi="宋体" w:cs="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投资者进行投资时，应严格遵守反洗钱相关法规的规定，切实履行反洗钱及反恐怖融资义务。 </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管理人权利与义务</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管理人应当诚实守信、勤勉尽责地履行受人之托、代人理财职责。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cs="宋体"/>
        </w:rPr>
      </w:pPr>
      <w:r>
        <w:rPr>
          <w:rFonts w:hint="eastAsia" w:ascii="宋体" w:hAnsi="宋体" w:cs="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理财计划认（申）购、赎回及终止</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理财计划认/申购办理流程：参照《投资者权益须知》约定。 </w:t>
      </w:r>
    </w:p>
    <w:p>
      <w:pPr>
        <w:widowControl/>
        <w:numPr>
          <w:ilvl w:val="0"/>
          <w:numId w:val="29"/>
        </w:numPr>
        <w:spacing w:line="360" w:lineRule="auto"/>
        <w:contextualSpacing/>
        <w:rPr>
          <w:rFonts w:ascii="宋体" w:hAnsi="宋体" w:cs="宋体"/>
        </w:rPr>
      </w:pPr>
      <w:r>
        <w:rPr>
          <w:rFonts w:hint="eastAsia" w:ascii="宋体" w:hAnsi="宋体" w:cs="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cs="宋体"/>
        </w:rPr>
      </w:pPr>
      <w:r>
        <w:rPr>
          <w:rFonts w:hint="eastAsia" w:ascii="宋体" w:hAnsi="宋体" w:cs="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cs="宋体"/>
        </w:rPr>
      </w:pPr>
      <w:r>
        <w:rPr>
          <w:rFonts w:hint="eastAsia" w:ascii="宋体" w:hAnsi="宋体" w:cs="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税收处理</w:t>
      </w:r>
    </w:p>
    <w:p>
      <w:pPr>
        <w:widowControl/>
        <w:spacing w:line="360" w:lineRule="auto"/>
        <w:ind w:firstLine="420" w:firstLineChars="200"/>
        <w:contextualSpacing/>
        <w:rPr>
          <w:rFonts w:ascii="宋体" w:hAnsi="宋体" w:cs="宋体"/>
        </w:rPr>
      </w:pPr>
      <w:r>
        <w:rPr>
          <w:rFonts w:hint="eastAsia" w:ascii="宋体" w:hAnsi="宋体" w:cs="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违约责任及免责条款</w:t>
      </w:r>
    </w:p>
    <w:p>
      <w:pPr>
        <w:widowControl/>
        <w:numPr>
          <w:ilvl w:val="0"/>
          <w:numId w:val="30"/>
        </w:numPr>
        <w:spacing w:line="360" w:lineRule="auto"/>
        <w:contextualSpacing/>
        <w:rPr>
          <w:rFonts w:ascii="宋体" w:hAnsi="宋体" w:cs="宋体"/>
        </w:rPr>
      </w:pPr>
      <w:r>
        <w:rPr>
          <w:rFonts w:hint="eastAsia" w:ascii="宋体" w:hAnsi="宋体" w:cs="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cs="宋体"/>
        </w:rPr>
      </w:pPr>
      <w:r>
        <w:rPr>
          <w:rFonts w:hint="eastAsia" w:ascii="宋体" w:hAnsi="宋体" w:cs="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cs="宋体"/>
        </w:rPr>
      </w:pPr>
      <w:r>
        <w:rPr>
          <w:rFonts w:hint="eastAsia" w:ascii="宋体" w:hAnsi="宋体" w:cs="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cs="宋体"/>
        </w:rPr>
      </w:pPr>
      <w:r>
        <w:rPr>
          <w:rFonts w:hint="eastAsia" w:ascii="宋体" w:hAnsi="宋体" w:cs="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cs="宋体"/>
        </w:rPr>
      </w:pPr>
      <w:r>
        <w:rPr>
          <w:rFonts w:hint="eastAsia" w:ascii="宋体" w:hAnsi="宋体" w:cs="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cs="宋体"/>
        </w:rPr>
      </w:pPr>
      <w:r>
        <w:rPr>
          <w:rFonts w:hint="eastAsia" w:ascii="宋体" w:hAnsi="宋体" w:cs="宋体"/>
        </w:rPr>
        <w:t>管理人若严格按照产品说明书相关规定进行投资运作，给投资者造成损失的，应免除管理人责任。</w:t>
      </w:r>
    </w:p>
    <w:p>
      <w:pPr>
        <w:widowControl/>
        <w:spacing w:line="360" w:lineRule="auto"/>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适用法律与争议解决</w:t>
      </w:r>
    </w:p>
    <w:p>
      <w:pPr>
        <w:widowControl/>
        <w:spacing w:line="360" w:lineRule="auto"/>
        <w:ind w:firstLine="420" w:firstLineChars="200"/>
        <w:contextualSpacing/>
        <w:rPr>
          <w:rFonts w:ascii="宋体" w:hAnsi="宋体" w:cs="宋体"/>
        </w:rPr>
      </w:pPr>
      <w:r>
        <w:rPr>
          <w:rFonts w:hint="eastAsia" w:ascii="宋体" w:hAnsi="宋体" w:cs="宋体"/>
        </w:rPr>
        <w:t>本合同适用</w:t>
      </w:r>
      <w:r>
        <w:rPr>
          <w:rFonts w:hint="eastAsia" w:ascii="宋体" w:hAnsi="宋体" w:cs="宋体"/>
          <w:bCs/>
          <w:color w:val="000000"/>
        </w:rPr>
        <w:t>中华人民共和国（仅为明确本合同适用法律规则，不含香港特别行政区、澳门特别行政区及中国台湾地区）</w:t>
      </w:r>
      <w:r>
        <w:rPr>
          <w:rFonts w:hint="eastAsia" w:ascii="宋体" w:hAnsi="宋体" w:cs="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协议生效和终止</w:t>
      </w:r>
    </w:p>
    <w:p>
      <w:pPr>
        <w:widowControl/>
        <w:numPr>
          <w:ilvl w:val="0"/>
          <w:numId w:val="31"/>
        </w:numPr>
        <w:spacing w:line="360" w:lineRule="auto"/>
        <w:contextualSpacing/>
        <w:rPr>
          <w:rFonts w:ascii="宋体" w:hAnsi="宋体" w:cs="宋体"/>
        </w:rPr>
      </w:pPr>
      <w:r>
        <w:rPr>
          <w:rFonts w:hint="eastAsia" w:ascii="宋体" w:hAnsi="宋体" w:cs="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cs="宋体"/>
        </w:rPr>
      </w:pPr>
      <w:r>
        <w:rPr>
          <w:rFonts w:hint="eastAsia" w:ascii="宋体" w:hAnsi="宋体" w:cs="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cs="宋体"/>
        </w:rPr>
      </w:pPr>
      <w:r>
        <w:rPr>
          <w:rFonts w:hint="eastAsia" w:ascii="宋体" w:hAnsi="宋体" w:cs="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cs="宋体"/>
        </w:rPr>
      </w:pPr>
      <w:r>
        <w:rPr>
          <w:rFonts w:hint="eastAsia" w:ascii="宋体" w:hAnsi="宋体" w:cs="宋体"/>
        </w:rPr>
        <w:t>投资者和管理人双方在本协议及对应期次的《理财计划产品说明书》项下权利义务履行完毕之日，本协议自动终止。</w:t>
      </w:r>
    </w:p>
    <w:p>
      <w:pPr>
        <w:widowControl/>
        <w:spacing w:line="360" w:lineRule="auto"/>
        <w:ind w:left="42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附则</w:t>
      </w:r>
    </w:p>
    <w:p>
      <w:pPr>
        <w:widowControl/>
        <w:numPr>
          <w:ilvl w:val="0"/>
          <w:numId w:val="32"/>
        </w:numPr>
        <w:spacing w:line="360" w:lineRule="auto"/>
        <w:contextualSpacing/>
        <w:rPr>
          <w:rFonts w:ascii="宋体" w:hAnsi="宋体" w:cs="宋体"/>
        </w:rPr>
      </w:pPr>
      <w:r>
        <w:rPr>
          <w:rFonts w:hint="eastAsia" w:ascii="宋体" w:hAnsi="宋体" w:cs="宋体"/>
        </w:rPr>
        <w:t>如果投资者与管理人之间存在多份理财计划协议书，则每一协议书分别与其所对应的产品说明书等销售文本单独构成一个理财计划合同，各个合同之间互相独立，每一合同的效力及履行情况均独立于其他合同。</w:t>
      </w:r>
    </w:p>
    <w:p>
      <w:pPr>
        <w:widowControl/>
        <w:numPr>
          <w:ilvl w:val="0"/>
          <w:numId w:val="32"/>
        </w:numPr>
        <w:spacing w:line="360" w:lineRule="auto"/>
        <w:contextualSpacing/>
        <w:rPr>
          <w:rFonts w:ascii="宋体" w:hAnsi="宋体" w:cs="宋体"/>
        </w:rPr>
      </w:pPr>
      <w:r>
        <w:rPr>
          <w:rFonts w:hint="eastAsia" w:ascii="宋体" w:hAnsi="宋体" w:cs="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cs="宋体"/>
          <w:bCs/>
          <w:color w:val="000000"/>
        </w:rPr>
      </w:pPr>
      <w:r>
        <w:rPr>
          <w:rFonts w:hint="eastAsia" w:ascii="宋体" w:hAnsi="宋体" w:cs="宋体"/>
        </w:rPr>
        <w:t>在理财计划存续期内，如因监管政策或法律法规发生变化，在不损害投资者利益的前提下，管理人有权单方对理财计划合同进行修订。</w:t>
      </w:r>
    </w:p>
    <w:p>
      <w:pPr>
        <w:pStyle w:val="10"/>
        <w:widowControl/>
        <w:spacing w:line="360" w:lineRule="auto"/>
        <w:jc w:val="right"/>
        <w:rPr>
          <w:rFonts w:ascii="宋体" w:hAnsi="宋体" w:cs="宋体"/>
          <w:kern w:val="0"/>
          <w:sz w:val="21"/>
        </w:rPr>
      </w:pPr>
      <w:r>
        <w:rPr>
          <w:rFonts w:hint="eastAsia" w:ascii="宋体" w:hAnsi="宋体" w:cs="宋体"/>
          <w:kern w:val="0"/>
          <w:sz w:val="21"/>
        </w:rPr>
        <w:t>杭银理财有限责任公司</w:t>
      </w:r>
    </w:p>
    <w:p>
      <w:pPr>
        <w:jc w:val="center"/>
        <w:rPr>
          <w:rFonts w:cs="黑体"/>
          <w:b/>
          <w:bCs/>
          <w:sz w:val="44"/>
          <w:szCs w:val="44"/>
        </w:rPr>
      </w:pPr>
      <w:r>
        <w:rPr>
          <w:rFonts w:hint="eastAsia" w:ascii="宋体" w:hAnsi="宋体" w:cs="宋体"/>
          <w:kern w:val="0"/>
        </w:rPr>
        <w:br w:type="page"/>
      </w:r>
      <w:r>
        <w:rPr>
          <w:rFonts w:hint="eastAsia" w:ascii="宋体" w:hAnsi="宋体"/>
          <w:b/>
          <w:bCs/>
          <w:sz w:val="32"/>
          <w:szCs w:val="32"/>
        </w:rPr>
        <w:t>杭银理财理财计划销售协议书</w:t>
      </w:r>
    </w:p>
    <w:p>
      <w:pPr>
        <w:jc w:val="center"/>
        <w:rPr>
          <w:rFonts w:ascii="宋体" w:hAnsi="宋体" w:cs="Times New Roman"/>
        </w:rPr>
      </w:pPr>
      <w:r>
        <w:rPr>
          <w:rFonts w:hint="eastAsia" w:ascii="宋体" w:hAnsi="宋体"/>
        </w:rPr>
        <w:t>（202101版）</w:t>
      </w:r>
    </w:p>
    <w:p>
      <w:pPr>
        <w:autoSpaceDE w:val="0"/>
        <w:spacing w:line="360" w:lineRule="auto"/>
        <w:jc w:val="center"/>
      </w:pP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理财非存款、产品有风险、投资须谨慎，理财计划过往业绩不代表其未来表现，不等于理财计划实际收益。</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名词释义</w:t>
      </w:r>
    </w:p>
    <w:p>
      <w:pPr>
        <w:widowControl/>
        <w:autoSpaceDE w:val="0"/>
        <w:spacing w:line="360" w:lineRule="auto"/>
        <w:ind w:firstLine="420" w:firstLineChars="200"/>
        <w:jc w:val="left"/>
        <w:rPr>
          <w:rFonts w:cs="黑体" w:asciiTheme="minorEastAsia" w:hAnsiTheme="minorEastAsia" w:eastAsiaTheme="minorEastAsia"/>
        </w:rPr>
      </w:pPr>
      <w:r>
        <w:rPr>
          <w:rFonts w:hint="eastAsia" w:cs="黑体" w:asciiTheme="minorEastAsia" w:hAnsiTheme="minorEastAsia" w:eastAsiaTheme="minorEastAsia"/>
        </w:rPr>
        <w:t>详见对应期次的理财计划产品说明书“释义”部分。</w:t>
      </w:r>
    </w:p>
    <w:p>
      <w:pPr>
        <w:widowControl/>
        <w:autoSpaceDE w:val="0"/>
        <w:spacing w:line="360" w:lineRule="auto"/>
        <w:ind w:firstLine="420" w:firstLineChars="200"/>
        <w:jc w:val="left"/>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投资者权利与义务</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cs="黑体" w:asciiTheme="minorEastAsia" w:hAnsiTheme="minorEastAsia" w:eastAsiaTheme="minor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投资者保证自身完全了解理财投资的性质，投资所涉及的风险以及自身风险承受能力，在慎重考虑后独立作出交易决定。</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cs="黑体" w:asciiTheme="minorEastAsia" w:hAnsiTheme="minorEastAsia" w:eastAsiaTheme="minorEastAsia"/>
        </w:rPr>
        <w:t>投资冷静期相关约定详见理财计划产品说明书。</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投资者保证其有权利签署本协议和履行本协议所述的义务，并已为此采取一切所需的行为。</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投资者在此确认代理销售机构的系统记录以及录音、录像构成对投资者操作行为（包括但不限于购买、赎回、撤单）的有效证据，并且在双方发生争议时可以作为合法有效的证据使用</w:t>
      </w:r>
      <w:r>
        <w:rPr>
          <w:rFonts w:hint="eastAsia" w:cs="黑体" w:asciiTheme="minorEastAsia" w:hAnsiTheme="minorEastAsia" w:eastAsiaTheme="minorEastAsia"/>
        </w:rPr>
        <w:t>。</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本协议终止前，投资者不得将授权指定账户销户。若发生因投资者注销授权指定账户造成理财计划无法正常兑付的，代理销售机构不承担任何责任。</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投资者对本协议及其条款负有保密义务，未经代理销售机构书面许可，不得向任何组织、个人提供或泄露与代理销售机构有关的业务资料及信息，但法律、法规另有规定的除外。</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投资者进行投资时，应严格遵守反洗钱相关法规的规定，切实履行反洗钱及反恐怖融资义务。</w:t>
      </w:r>
    </w:p>
    <w:p>
      <w:pPr>
        <w:widowControl/>
        <w:numPr>
          <w:ilvl w:val="0"/>
          <w:numId w:val="34"/>
        </w:numPr>
        <w:spacing w:line="360" w:lineRule="auto"/>
        <w:contextualSpacing/>
        <w:rPr>
          <w:rFonts w:cs="黑体" w:asciiTheme="minorEastAsia" w:hAnsiTheme="minorEastAsia" w:eastAsiaTheme="minorEastAsia"/>
          <w:b/>
          <w:bCs/>
        </w:rPr>
      </w:pPr>
      <w:r>
        <w:rPr>
          <w:rFonts w:hint="eastAsia" w:cs="黑体" w:asciiTheme="minorEastAsia" w:hAnsiTheme="minorEastAsia" w:eastAsiaTheme="minorEastAsia"/>
          <w:b/>
          <w:bCs/>
        </w:rPr>
        <w:t>投资者个人信息授权</w:t>
      </w:r>
    </w:p>
    <w:p>
      <w:pPr>
        <w:widowControl/>
        <w:spacing w:line="360" w:lineRule="auto"/>
        <w:ind w:firstLine="422" w:firstLineChars="200"/>
        <w:contextualSpacing/>
        <w:rPr>
          <w:rFonts w:cs="黑体" w:asciiTheme="minorEastAsia" w:hAnsiTheme="minorEastAsia" w:eastAsiaTheme="minorEastAsia"/>
          <w:b/>
          <w:bCs/>
        </w:rPr>
      </w:pPr>
      <w:r>
        <w:rPr>
          <w:rFonts w:hint="eastAsia" w:cs="黑体" w:asciiTheme="minorEastAsia" w:hAnsiTheme="minorEastAsia" w:eastAsiaTheme="minor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代理销售机构的权利与义务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b/>
          <w:bCs/>
        </w:rPr>
        <w:t>代理销售机构非本计划的发行、管理机构，对本计划的业绩不承担任何保证和其他经济责任，不承担本计划的投资、兑付和风险管理责任</w:t>
      </w:r>
      <w:r>
        <w:rPr>
          <w:rFonts w:hint="eastAsia" w:cs="黑体" w:asciiTheme="minorEastAsia" w:hAnsiTheme="minorEastAsia" w:eastAsiaTheme="minorEastAsia"/>
        </w:rPr>
        <w:t>。</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代理销售机构应定期对购买其代理销售的理财计划的非机构投资者进行有效风险承受能力评估，并保证向投资者推介及销售与其风险承受能力匹配的产品。</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代理销售机构应建立健全上岗资格、持续培训、信息公示与查询核实等制度并有效执行。未经代理销售机构进行上岗资格认定并签订劳动合同，任何人员不得从事理财计划销售业务活动。</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代理销售机构对投资者负有信息保密义务，未经投资者书面许可，乙方不得向任何组织、个人提供或泄露与甲方有关的业务资料及信息，但法律、法规另有规定的除外。</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代理销售机构应按照法律法规、监管规定、理财计划合同的约定收取销售费用，并如实核算、记账。未经载明，不得对不同投资者适用不同费率。</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理财计划销售结算资金属于理财计划投资者，代理销售机构不得挪用理财计划销售结算资金或将理财计划销售结算资金归入自有资产。</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代理销售机构应遵守相关法律、法规、监管规定及理财计划合同约定，诚实守信、勤勉尽责，向购买理财计划的投资者充分传递管理人披露的产品相关信息并进行充分的风险揭示。</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代理销售机构应当充分利用科技手段，加强对伪冒网站、伪冒产品等监测，有效防范各类欺诈风险。</w:t>
      </w:r>
    </w:p>
    <w:p>
      <w:pPr>
        <w:widowControl/>
        <w:autoSpaceDE w:val="0"/>
        <w:spacing w:line="360" w:lineRule="auto"/>
        <w:ind w:left="482"/>
        <w:contextualSpacing/>
        <w:jc w:val="left"/>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理财计划认（申）购、赎回及终止</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理财计划认/申购办理流程：参照投资者权益须知约定。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理财计划认/申购确认：管理人根据代理销售渠道提供的交易信息及资金划付对投资者相应认/申购进行确认。</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理财计划投资品种、投资起点金额、收益支付方式：参照对应期次的理财计划产品说明书中的条款约定。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违约责任及免责条款</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若由于代理销售机构过错导致理财计划资产发生损失，代理销售机构应按其过错承担赔偿责任，代理销售机构赔偿的款项计入理财计划的资产和收益。</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适用法律与争议解决</w:t>
      </w:r>
    </w:p>
    <w:p>
      <w:pPr>
        <w:widowControl/>
        <w:autoSpaceDE w:val="0"/>
        <w:spacing w:line="360" w:lineRule="auto"/>
        <w:ind w:firstLine="420" w:firstLineChars="200"/>
        <w:contextualSpacing/>
        <w:rPr>
          <w:rFonts w:cs="黑体" w:asciiTheme="minorEastAsia" w:hAnsiTheme="minorEastAsia" w:eastAsiaTheme="minorEastAsia"/>
        </w:rPr>
      </w:pPr>
      <w:r>
        <w:rPr>
          <w:rFonts w:hint="eastAsia" w:cs="黑体" w:asciiTheme="minorEastAsia" w:hAnsiTheme="minorEastAsia" w:eastAsiaTheme="minor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协议生效和终止</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投资者和代理销售机构双方认可本协议可以纸质或电子数据等形式提交、订立或确认。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本协议书以纸质书面形式订立的，自投资者签字和代理销售机构签章之后立即生效。协议一式叁份，投资者、管理人和代理销售机构各执壹份，具有同等法律效力。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投资者和代理销售机构双方在本协议及对应期次的理财计划产品说明书项下权利义务履行完毕之日，本协议自动终止。</w:t>
      </w:r>
    </w:p>
    <w:p>
      <w:pPr>
        <w:widowControl/>
        <w:autoSpaceDE w:val="0"/>
        <w:spacing w:line="360" w:lineRule="auto"/>
        <w:ind w:left="420"/>
        <w:contextualSpacing/>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 xml:space="preserve">附则 </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如果由于任何原因使本合同下的任何条款或内容成为无效或被依法撤销，本合同其他条款或内容的合法性、有效性和可执行性不受影响。</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cs="黑体" w:asciiTheme="minorEastAsia" w:hAnsiTheme="minorEastAsia" w:eastAsiaTheme="minorEastAsia"/>
        </w:rPr>
      </w:pPr>
    </w:p>
    <w:p>
      <w:pPr>
        <w:autoSpaceDE w:val="0"/>
        <w:spacing w:line="360" w:lineRule="auto"/>
        <w:rPr>
          <w:rFonts w:cs="Times New Roman" w:asciiTheme="minorEastAsia" w:hAnsiTheme="minorEastAsia" w:eastAsiaTheme="minorEastAsia"/>
        </w:rPr>
      </w:pPr>
    </w:p>
    <w:p>
      <w:pPr>
        <w:autoSpaceDE w:val="0"/>
        <w:spacing w:line="360" w:lineRule="auto"/>
        <w:rPr>
          <w:rFonts w:asciiTheme="minorEastAsia" w:hAnsiTheme="minorEastAsia" w:eastAsiaTheme="minorEastAsia"/>
        </w:rPr>
      </w:pPr>
    </w:p>
    <w:p>
      <w:pPr>
        <w:widowControl/>
        <w:spacing w:line="360" w:lineRule="auto"/>
        <w:jc w:val="right"/>
        <w:rPr>
          <w:rFonts w:asciiTheme="minorEastAsia" w:hAnsiTheme="minorEastAsia" w:eastAsiaTheme="minorEastAsia"/>
          <w:color w:val="000000"/>
          <w:kern w:val="0"/>
        </w:rPr>
      </w:pPr>
      <w:r>
        <w:rPr>
          <w:rFonts w:hint="eastAsia" w:asciiTheme="minorEastAsia" w:hAnsiTheme="minorEastAsia" w:eastAsiaTheme="minorEastAsia"/>
          <w:kern w:val="0"/>
        </w:rPr>
        <w:t>杭银理财有限责任公司</w:t>
      </w:r>
    </w:p>
    <w:p>
      <w:pPr>
        <w:spacing w:line="360" w:lineRule="auto"/>
        <w:rPr>
          <w:rFonts w:ascii="宋体" w:hAnsi="宋体" w:cs="黑体"/>
        </w:rPr>
      </w:pPr>
      <w:r>
        <w:rPr>
          <w:rFonts w:hint="eastAsia" w:asciiTheme="minorEastAsia" w:hAnsiTheme="minorEastAsia" w:eastAsiaTheme="minorEastAsia"/>
          <w:color w:val="000000"/>
          <w:kern w:val="0"/>
        </w:rPr>
        <w:br w:type="page"/>
      </w:r>
      <w:r>
        <w:rPr>
          <w:rFonts w:hint="eastAsia" w:ascii="宋体" w:hAnsi="宋体" w:cs="黑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rPr>
        <w:t>投资者（签字）：</w:t>
      </w: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sz w:val="28"/>
          <w:szCs w:val="28"/>
        </w:rPr>
      </w:pPr>
    </w:p>
    <w:p>
      <w:pPr>
        <w:pStyle w:val="10"/>
        <w:widowControl/>
        <w:spacing w:line="360" w:lineRule="auto"/>
        <w:jc w:val="left"/>
        <w:rPr>
          <w:rFonts w:asciiTheme="minorEastAsia" w:hAnsiTheme="minorEastAsia" w:eastAsiaTheme="minorEastAsia"/>
          <w:color w:val="000000"/>
          <w:kern w:val="0"/>
          <w:sz w:val="21"/>
        </w:rPr>
      </w:pP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226EF"/>
    <w:multiLevelType w:val="singleLevel"/>
    <w:tmpl w:val="B08226EF"/>
    <w:lvl w:ilvl="0" w:tentative="0">
      <w:start w:val="1"/>
      <w:numFmt w:val="chineseCounting"/>
      <w:suff w:val="space"/>
      <w:lvlText w:val="第%1条"/>
      <w:lvlJc w:val="left"/>
      <w:rPr>
        <w:rFonts w:hint="eastAsia"/>
      </w:rPr>
    </w:lvl>
  </w:abstractNum>
  <w:abstractNum w:abstractNumId="1">
    <w:nsid w:val="D8BBA51B"/>
    <w:multiLevelType w:val="singleLevel"/>
    <w:tmpl w:val="D8BBA51B"/>
    <w:lvl w:ilvl="0" w:tentative="0">
      <w:start w:val="11"/>
      <w:numFmt w:val="chineseCounting"/>
      <w:suff w:val="nothing"/>
      <w:lvlText w:val="%1、"/>
      <w:lvlJc w:val="left"/>
      <w:rPr>
        <w:rFonts w:hint="eastAsia"/>
      </w:rPr>
    </w:lvl>
  </w:abstractNum>
  <w:abstractNum w:abstractNumId="2">
    <w:nsid w:val="05E97304"/>
    <w:multiLevelType w:val="multilevel"/>
    <w:tmpl w:val="05E97304"/>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E94B7C"/>
    <w:multiLevelType w:val="multilevel"/>
    <w:tmpl w:val="06E94B7C"/>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53605B"/>
    <w:multiLevelType w:val="multilevel"/>
    <w:tmpl w:val="0D53605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3B871AA"/>
    <w:multiLevelType w:val="multilevel"/>
    <w:tmpl w:val="23B871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812031"/>
    <w:multiLevelType w:val="multilevel"/>
    <w:tmpl w:val="4D8120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B87B9D3"/>
    <w:multiLevelType w:val="singleLevel"/>
    <w:tmpl w:val="5B87B9D3"/>
    <w:lvl w:ilvl="0" w:tentative="0">
      <w:start w:val="4"/>
      <w:numFmt w:val="chineseCounting"/>
      <w:suff w:val="nothing"/>
      <w:lvlText w:val="（%1）"/>
      <w:lvlJc w:val="left"/>
    </w:lvl>
  </w:abstractNum>
  <w:abstractNum w:abstractNumId="27">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28">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29">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30">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31">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32">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33">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4A6507A"/>
    <w:multiLevelType w:val="multilevel"/>
    <w:tmpl w:val="74A6507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7C35101"/>
    <w:multiLevelType w:val="multilevel"/>
    <w:tmpl w:val="77C3510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1"/>
  </w:num>
  <w:num w:numId="2">
    <w:abstractNumId w:val="26"/>
  </w:num>
  <w:num w:numId="3">
    <w:abstractNumId w:val="35"/>
  </w:num>
  <w:num w:numId="4">
    <w:abstractNumId w:val="20"/>
  </w:num>
  <w:num w:numId="5">
    <w:abstractNumId w:val="8"/>
  </w:num>
  <w:num w:numId="6">
    <w:abstractNumId w:val="4"/>
  </w:num>
  <w:num w:numId="7">
    <w:abstractNumId w:val="17"/>
  </w:num>
  <w:num w:numId="8">
    <w:abstractNumId w:val="6"/>
  </w:num>
  <w:num w:numId="9">
    <w:abstractNumId w:val="15"/>
  </w:num>
  <w:num w:numId="10">
    <w:abstractNumId w:val="18"/>
  </w:num>
  <w:num w:numId="11">
    <w:abstractNumId w:val="38"/>
  </w:num>
  <w:num w:numId="12">
    <w:abstractNumId w:val="10"/>
  </w:num>
  <w:num w:numId="13">
    <w:abstractNumId w:val="23"/>
  </w:num>
  <w:num w:numId="14">
    <w:abstractNumId w:val="24"/>
  </w:num>
  <w:num w:numId="15">
    <w:abstractNumId w:val="1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5041"/>
    <w:rsid w:val="00016DEF"/>
    <w:rsid w:val="0003494A"/>
    <w:rsid w:val="00036C6B"/>
    <w:rsid w:val="00041CE3"/>
    <w:rsid w:val="0004400E"/>
    <w:rsid w:val="0005567F"/>
    <w:rsid w:val="00056257"/>
    <w:rsid w:val="00060C68"/>
    <w:rsid w:val="00064AB8"/>
    <w:rsid w:val="0007142C"/>
    <w:rsid w:val="000A03E4"/>
    <w:rsid w:val="000A191B"/>
    <w:rsid w:val="000A5BFF"/>
    <w:rsid w:val="000B0053"/>
    <w:rsid w:val="000B1CF9"/>
    <w:rsid w:val="000B1EBB"/>
    <w:rsid w:val="000D1145"/>
    <w:rsid w:val="000D50FE"/>
    <w:rsid w:val="000D706F"/>
    <w:rsid w:val="000E1225"/>
    <w:rsid w:val="000E251A"/>
    <w:rsid w:val="00102B1D"/>
    <w:rsid w:val="00104207"/>
    <w:rsid w:val="00106F8A"/>
    <w:rsid w:val="00111435"/>
    <w:rsid w:val="00130E15"/>
    <w:rsid w:val="00131B37"/>
    <w:rsid w:val="0013535F"/>
    <w:rsid w:val="001400C5"/>
    <w:rsid w:val="00152C9F"/>
    <w:rsid w:val="00156B28"/>
    <w:rsid w:val="00163E6B"/>
    <w:rsid w:val="0016452E"/>
    <w:rsid w:val="001645E5"/>
    <w:rsid w:val="00165A5F"/>
    <w:rsid w:val="0017046E"/>
    <w:rsid w:val="00170D95"/>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0117B"/>
    <w:rsid w:val="00207885"/>
    <w:rsid w:val="00210B24"/>
    <w:rsid w:val="00211131"/>
    <w:rsid w:val="00223672"/>
    <w:rsid w:val="00223734"/>
    <w:rsid w:val="002244F2"/>
    <w:rsid w:val="002256AF"/>
    <w:rsid w:val="002325B7"/>
    <w:rsid w:val="00237C4A"/>
    <w:rsid w:val="00242BAA"/>
    <w:rsid w:val="002470B8"/>
    <w:rsid w:val="002479C3"/>
    <w:rsid w:val="00255690"/>
    <w:rsid w:val="0027745F"/>
    <w:rsid w:val="002952E7"/>
    <w:rsid w:val="002A0433"/>
    <w:rsid w:val="002A1451"/>
    <w:rsid w:val="002B065D"/>
    <w:rsid w:val="002B6E5C"/>
    <w:rsid w:val="002C1918"/>
    <w:rsid w:val="002D09F6"/>
    <w:rsid w:val="002D235A"/>
    <w:rsid w:val="002E07AB"/>
    <w:rsid w:val="002E15F9"/>
    <w:rsid w:val="002E6900"/>
    <w:rsid w:val="00307948"/>
    <w:rsid w:val="00320468"/>
    <w:rsid w:val="003228FE"/>
    <w:rsid w:val="00331D83"/>
    <w:rsid w:val="0034199E"/>
    <w:rsid w:val="003452AC"/>
    <w:rsid w:val="0035187C"/>
    <w:rsid w:val="00356A16"/>
    <w:rsid w:val="00361973"/>
    <w:rsid w:val="00367EA2"/>
    <w:rsid w:val="00375348"/>
    <w:rsid w:val="0038273A"/>
    <w:rsid w:val="00384A29"/>
    <w:rsid w:val="003A539B"/>
    <w:rsid w:val="003A7245"/>
    <w:rsid w:val="003B0D21"/>
    <w:rsid w:val="003B2DFE"/>
    <w:rsid w:val="003B3810"/>
    <w:rsid w:val="003B5FDA"/>
    <w:rsid w:val="003B6960"/>
    <w:rsid w:val="003B72A8"/>
    <w:rsid w:val="003D08EB"/>
    <w:rsid w:val="003D39F2"/>
    <w:rsid w:val="003E5AF8"/>
    <w:rsid w:val="003F047E"/>
    <w:rsid w:val="003F357F"/>
    <w:rsid w:val="003F5069"/>
    <w:rsid w:val="004039EF"/>
    <w:rsid w:val="00403EF6"/>
    <w:rsid w:val="00416162"/>
    <w:rsid w:val="00422904"/>
    <w:rsid w:val="00427991"/>
    <w:rsid w:val="004310E7"/>
    <w:rsid w:val="004316D0"/>
    <w:rsid w:val="00435BD1"/>
    <w:rsid w:val="00435D3F"/>
    <w:rsid w:val="0044304F"/>
    <w:rsid w:val="004431A1"/>
    <w:rsid w:val="004514C8"/>
    <w:rsid w:val="00451910"/>
    <w:rsid w:val="00451A6B"/>
    <w:rsid w:val="004532E9"/>
    <w:rsid w:val="00454783"/>
    <w:rsid w:val="0045623C"/>
    <w:rsid w:val="004614B3"/>
    <w:rsid w:val="00493C19"/>
    <w:rsid w:val="00494B69"/>
    <w:rsid w:val="00496C62"/>
    <w:rsid w:val="004A46C8"/>
    <w:rsid w:val="004B15EB"/>
    <w:rsid w:val="004C06C8"/>
    <w:rsid w:val="004C1095"/>
    <w:rsid w:val="004C4787"/>
    <w:rsid w:val="004C4B64"/>
    <w:rsid w:val="004D66F1"/>
    <w:rsid w:val="004D6A45"/>
    <w:rsid w:val="004D704D"/>
    <w:rsid w:val="004E0BEC"/>
    <w:rsid w:val="004E2F89"/>
    <w:rsid w:val="004E33A1"/>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FC0"/>
    <w:rsid w:val="005819B9"/>
    <w:rsid w:val="00581BD2"/>
    <w:rsid w:val="0058288B"/>
    <w:rsid w:val="005844C9"/>
    <w:rsid w:val="00587CF5"/>
    <w:rsid w:val="005A3ADE"/>
    <w:rsid w:val="005A7AAD"/>
    <w:rsid w:val="005B0EBD"/>
    <w:rsid w:val="005B1988"/>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309F"/>
    <w:rsid w:val="00664AE5"/>
    <w:rsid w:val="00671719"/>
    <w:rsid w:val="006743C1"/>
    <w:rsid w:val="00676A98"/>
    <w:rsid w:val="00681C0C"/>
    <w:rsid w:val="00684F88"/>
    <w:rsid w:val="006A2B09"/>
    <w:rsid w:val="006A677E"/>
    <w:rsid w:val="006A718F"/>
    <w:rsid w:val="006B4408"/>
    <w:rsid w:val="006B4663"/>
    <w:rsid w:val="006C103F"/>
    <w:rsid w:val="006C21C7"/>
    <w:rsid w:val="006C64B9"/>
    <w:rsid w:val="006C7B62"/>
    <w:rsid w:val="006E4BB6"/>
    <w:rsid w:val="006E4CDD"/>
    <w:rsid w:val="006E51ED"/>
    <w:rsid w:val="006E63CC"/>
    <w:rsid w:val="006F05DC"/>
    <w:rsid w:val="006F6194"/>
    <w:rsid w:val="00700EDD"/>
    <w:rsid w:val="00702CDC"/>
    <w:rsid w:val="00707360"/>
    <w:rsid w:val="00712DF3"/>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D26B2"/>
    <w:rsid w:val="007E0AA6"/>
    <w:rsid w:val="007E0BB7"/>
    <w:rsid w:val="007E1355"/>
    <w:rsid w:val="007E1CB3"/>
    <w:rsid w:val="007E43C7"/>
    <w:rsid w:val="007E46A6"/>
    <w:rsid w:val="007E7822"/>
    <w:rsid w:val="007F166D"/>
    <w:rsid w:val="007F219A"/>
    <w:rsid w:val="007F388A"/>
    <w:rsid w:val="007F3DDB"/>
    <w:rsid w:val="007F6D15"/>
    <w:rsid w:val="00816222"/>
    <w:rsid w:val="00826FEE"/>
    <w:rsid w:val="00834ADD"/>
    <w:rsid w:val="00857760"/>
    <w:rsid w:val="008625D8"/>
    <w:rsid w:val="008639A4"/>
    <w:rsid w:val="008665BF"/>
    <w:rsid w:val="00866ED8"/>
    <w:rsid w:val="008700BB"/>
    <w:rsid w:val="008757F6"/>
    <w:rsid w:val="00881607"/>
    <w:rsid w:val="008828B3"/>
    <w:rsid w:val="008831E8"/>
    <w:rsid w:val="00883312"/>
    <w:rsid w:val="00883C12"/>
    <w:rsid w:val="00887B8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0686F"/>
    <w:rsid w:val="0091212F"/>
    <w:rsid w:val="009138EE"/>
    <w:rsid w:val="0092425C"/>
    <w:rsid w:val="00925573"/>
    <w:rsid w:val="00926EF6"/>
    <w:rsid w:val="00940D7C"/>
    <w:rsid w:val="009438BE"/>
    <w:rsid w:val="009472AD"/>
    <w:rsid w:val="00952DC1"/>
    <w:rsid w:val="0095704C"/>
    <w:rsid w:val="00984B2D"/>
    <w:rsid w:val="009858B4"/>
    <w:rsid w:val="00985A1E"/>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02C4"/>
    <w:rsid w:val="00A53627"/>
    <w:rsid w:val="00A55ABC"/>
    <w:rsid w:val="00A6012C"/>
    <w:rsid w:val="00A630D8"/>
    <w:rsid w:val="00A649D3"/>
    <w:rsid w:val="00A661D7"/>
    <w:rsid w:val="00A720AA"/>
    <w:rsid w:val="00A74D97"/>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97D20"/>
    <w:rsid w:val="00BA70C0"/>
    <w:rsid w:val="00BB0B22"/>
    <w:rsid w:val="00BB350D"/>
    <w:rsid w:val="00BB3879"/>
    <w:rsid w:val="00BB66A3"/>
    <w:rsid w:val="00BB726B"/>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0CB2"/>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C6D82"/>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4922"/>
    <w:rsid w:val="00D55C4E"/>
    <w:rsid w:val="00D81A70"/>
    <w:rsid w:val="00D849A7"/>
    <w:rsid w:val="00D92EDE"/>
    <w:rsid w:val="00DA3FA9"/>
    <w:rsid w:val="00DB2635"/>
    <w:rsid w:val="00DB5D8B"/>
    <w:rsid w:val="00DB735D"/>
    <w:rsid w:val="00DC1FB7"/>
    <w:rsid w:val="00DC4D62"/>
    <w:rsid w:val="00DD29BD"/>
    <w:rsid w:val="00DE27A1"/>
    <w:rsid w:val="00DE3A2C"/>
    <w:rsid w:val="00DE4189"/>
    <w:rsid w:val="00DE572F"/>
    <w:rsid w:val="00DE5CC6"/>
    <w:rsid w:val="00DF4E0D"/>
    <w:rsid w:val="00E02B43"/>
    <w:rsid w:val="00E02B7C"/>
    <w:rsid w:val="00E056B4"/>
    <w:rsid w:val="00E0683D"/>
    <w:rsid w:val="00E1035F"/>
    <w:rsid w:val="00E10BDC"/>
    <w:rsid w:val="00E15330"/>
    <w:rsid w:val="00E20D39"/>
    <w:rsid w:val="00E2281C"/>
    <w:rsid w:val="00E3669A"/>
    <w:rsid w:val="00E37956"/>
    <w:rsid w:val="00E43308"/>
    <w:rsid w:val="00E63ACF"/>
    <w:rsid w:val="00E63DF1"/>
    <w:rsid w:val="00E63F14"/>
    <w:rsid w:val="00E64867"/>
    <w:rsid w:val="00E81A53"/>
    <w:rsid w:val="00E85C02"/>
    <w:rsid w:val="00E925FC"/>
    <w:rsid w:val="00EA601B"/>
    <w:rsid w:val="00EB6780"/>
    <w:rsid w:val="00EC4B8A"/>
    <w:rsid w:val="00ED2623"/>
    <w:rsid w:val="00ED71EA"/>
    <w:rsid w:val="00ED7EE4"/>
    <w:rsid w:val="00EF07DF"/>
    <w:rsid w:val="00F32D6F"/>
    <w:rsid w:val="00F34E58"/>
    <w:rsid w:val="00F35C42"/>
    <w:rsid w:val="00F35EA2"/>
    <w:rsid w:val="00F53554"/>
    <w:rsid w:val="00F5506D"/>
    <w:rsid w:val="00F62A37"/>
    <w:rsid w:val="00F659C2"/>
    <w:rsid w:val="00F661B5"/>
    <w:rsid w:val="00F81135"/>
    <w:rsid w:val="00F81D67"/>
    <w:rsid w:val="00F85512"/>
    <w:rsid w:val="00F94B26"/>
    <w:rsid w:val="00FA581E"/>
    <w:rsid w:val="00FB0DC4"/>
    <w:rsid w:val="00FC053D"/>
    <w:rsid w:val="00FC5473"/>
    <w:rsid w:val="00FD0659"/>
    <w:rsid w:val="00FD0B2A"/>
    <w:rsid w:val="00FD1AE6"/>
    <w:rsid w:val="00FD4172"/>
    <w:rsid w:val="00FD4749"/>
    <w:rsid w:val="00FD73AF"/>
    <w:rsid w:val="00FE6091"/>
    <w:rsid w:val="00FF2484"/>
    <w:rsid w:val="00FF6507"/>
    <w:rsid w:val="01560D55"/>
    <w:rsid w:val="01FB1F32"/>
    <w:rsid w:val="02C57AC3"/>
    <w:rsid w:val="038269B5"/>
    <w:rsid w:val="04CD156A"/>
    <w:rsid w:val="05130A84"/>
    <w:rsid w:val="09AC6127"/>
    <w:rsid w:val="0F0043BB"/>
    <w:rsid w:val="13016138"/>
    <w:rsid w:val="13842138"/>
    <w:rsid w:val="155D0FAE"/>
    <w:rsid w:val="194950A1"/>
    <w:rsid w:val="1B8B2D6E"/>
    <w:rsid w:val="1D4B4659"/>
    <w:rsid w:val="1DA941EB"/>
    <w:rsid w:val="21AE43C0"/>
    <w:rsid w:val="24B6088C"/>
    <w:rsid w:val="25717188"/>
    <w:rsid w:val="27660D0E"/>
    <w:rsid w:val="28FB441D"/>
    <w:rsid w:val="29E37A3B"/>
    <w:rsid w:val="2A1A7A0B"/>
    <w:rsid w:val="2C843FA1"/>
    <w:rsid w:val="2CF11704"/>
    <w:rsid w:val="2D45719C"/>
    <w:rsid w:val="2DEC75F3"/>
    <w:rsid w:val="2E0B2CD2"/>
    <w:rsid w:val="30E90FE8"/>
    <w:rsid w:val="32C55323"/>
    <w:rsid w:val="35892A55"/>
    <w:rsid w:val="3BA24BB0"/>
    <w:rsid w:val="3D61208C"/>
    <w:rsid w:val="3FCB3B1C"/>
    <w:rsid w:val="3FFE4CE9"/>
    <w:rsid w:val="42B252B7"/>
    <w:rsid w:val="433D1B9E"/>
    <w:rsid w:val="43C61C00"/>
    <w:rsid w:val="45111D82"/>
    <w:rsid w:val="481B099C"/>
    <w:rsid w:val="49FF7166"/>
    <w:rsid w:val="4ACA4F6B"/>
    <w:rsid w:val="50DD7DA0"/>
    <w:rsid w:val="510826B2"/>
    <w:rsid w:val="51FF0A24"/>
    <w:rsid w:val="52EC289B"/>
    <w:rsid w:val="5A726ACA"/>
    <w:rsid w:val="5BE91D19"/>
    <w:rsid w:val="5CEF711D"/>
    <w:rsid w:val="5E7332FD"/>
    <w:rsid w:val="62C16DB1"/>
    <w:rsid w:val="64EA430A"/>
    <w:rsid w:val="6BB97DF1"/>
    <w:rsid w:val="6BE12EF7"/>
    <w:rsid w:val="6C361A89"/>
    <w:rsid w:val="6C6A476A"/>
    <w:rsid w:val="6CFB1020"/>
    <w:rsid w:val="6E05628E"/>
    <w:rsid w:val="73E23960"/>
    <w:rsid w:val="78E860BE"/>
    <w:rsid w:val="79E423D8"/>
    <w:rsid w:val="7B69328D"/>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nhideWhenUsed="0" w:uiPriority="0" w:semiHidden="0" w:name="footnote text"/>
    <w:lsdException w:qFormat="1" w:unhideWhenUsed="0" w:uiPriority="99" w:name="annotation text"/>
    <w:lsdException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uiPriority w:val="0"/>
    <w:pPr>
      <w:snapToGrid w:val="0"/>
      <w:jc w:val="left"/>
    </w:pPr>
    <w:rPr>
      <w:rFonts w:cs="Times New Roman"/>
      <w:sz w:val="18"/>
      <w:szCs w:val="18"/>
    </w:rPr>
  </w:style>
  <w:style w:type="paragraph" w:styleId="10">
    <w:name w:val="Normal (Web)"/>
    <w:basedOn w:val="1"/>
    <w:unhideWhenUsed/>
    <w:qFormat/>
    <w:uiPriority w:val="99"/>
    <w:rPr>
      <w:sz w:val="24"/>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37</Pages>
  <Words>4429</Words>
  <Characters>25246</Characters>
  <Lines>210</Lines>
  <Paragraphs>59</Paragraphs>
  <TotalTime>0</TotalTime>
  <ScaleCrop>false</ScaleCrop>
  <LinksUpToDate>false</LinksUpToDate>
  <CharactersWithSpaces>29616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何婷婷</cp:lastModifiedBy>
  <cp:lastPrinted>2020-04-15T04:53:00Z</cp:lastPrinted>
  <dcterms:modified xsi:type="dcterms:W3CDTF">2022-03-31T09:42:39Z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