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添益201</w:t>
      </w:r>
      <w:r>
        <w:rPr>
          <w:rFonts w:hint="eastAsia" w:cs="宋体"/>
          <w:b/>
          <w:bCs/>
          <w:sz w:val="32"/>
          <w:szCs w:val="32"/>
          <w:lang w:val="en-US" w:eastAsia="zh-CN"/>
        </w:rPr>
        <w:t>2</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Z700222100017</w:t>
      </w:r>
      <w:r>
        <w:rPr>
          <w:rFonts w:hint="eastAsia" w:ascii="宋体" w:hAnsi="Wingdings" w:cs="宋体"/>
          <w:color w:val="000000"/>
          <w:kern w:val="0"/>
          <w:lang w:val="en-US" w:eastAsia="zh-CN"/>
        </w:rPr>
        <w:t>7</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杭银理财幸福99半年添益201</w:t>
      </w:r>
      <w:r>
        <w:rPr>
          <w:rFonts w:hint="eastAsia" w:ascii="宋体" w:hAnsi="宋体" w:cs="宋体"/>
          <w:sz w:val="21"/>
          <w:szCs w:val="21"/>
          <w:lang w:val="en-US" w:eastAsia="zh-CN"/>
        </w:rPr>
        <w:t>2</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937"/>
        <w:gridCol w:w="1370"/>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销售机构信息</w:t>
            </w:r>
          </w:p>
        </w:tc>
        <w:tc>
          <w:tcPr>
            <w:tcW w:w="29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杭州银行股份有限公司</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住所</w:t>
            </w:r>
          </w:p>
        </w:tc>
        <w:tc>
          <w:tcPr>
            <w:tcW w:w="38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cs="Times New Roman"/>
                <w:szCs w:val="22"/>
              </w:rPr>
            </w:pPr>
          </w:p>
        </w:tc>
        <w:tc>
          <w:tcPr>
            <w:tcW w:w="29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cs="Times New Roman"/>
                <w:szCs w:val="22"/>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客服热线</w:t>
            </w:r>
          </w:p>
        </w:tc>
        <w:tc>
          <w:tcPr>
            <w:tcW w:w="38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销售机构职责</w:t>
            </w:r>
          </w:p>
        </w:tc>
        <w:tc>
          <w:tcPr>
            <w:tcW w:w="8115"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bCs/>
              </w:rPr>
            </w:pPr>
            <w:r>
              <w:rPr>
                <w:rFonts w:hint="eastAsia" w:ascii="宋体" w:hAnsi="宋体" w:cs="宋体"/>
                <w:bCs/>
              </w:rPr>
              <w:t>主要负责理财计划推广、投资者风险承受能力评估、投资者适当性管理、理财计划份额认购、申购及赎回办理。</w:t>
            </w:r>
          </w:p>
          <w:p>
            <w:pPr>
              <w:spacing w:line="360" w:lineRule="auto"/>
              <w:jc w:val="left"/>
              <w:rPr>
                <w:rFonts w:ascii="宋体" w:hAnsi="宋体" w:cs="宋体"/>
                <w:bCs/>
              </w:rPr>
            </w:pPr>
            <w:r>
              <w:rPr>
                <w:rFonts w:hint="eastAsia" w:ascii="宋体" w:hAnsi="宋体" w:cs="宋体"/>
                <w:bCs/>
              </w:rPr>
              <w:t>协助管理人负责与投资者签订理财计划合同、与投资者沟通及进行信息披露、接受投资者咨询和客户维护等销售服务。</w:t>
            </w:r>
          </w:p>
        </w:tc>
      </w:tr>
    </w:tbl>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1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托管人名称</w:t>
            </w:r>
          </w:p>
        </w:tc>
        <w:tc>
          <w:tcPr>
            <w:tcW w:w="71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1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托管人住所</w:t>
            </w:r>
          </w:p>
        </w:tc>
        <w:tc>
          <w:tcPr>
            <w:tcW w:w="71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托管人职责</w:t>
            </w:r>
          </w:p>
        </w:tc>
        <w:tc>
          <w:tcPr>
            <w:tcW w:w="711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半年添益201</w:t>
            </w:r>
            <w:r>
              <w:rPr>
                <w:rFonts w:hint="eastAsia" w:ascii="宋体" w:hAnsi="宋体" w:cs="宋体"/>
                <w:color w:val="000000"/>
                <w:kern w:val="0"/>
                <w:lang w:val="en-US" w:eastAsia="zh-CN"/>
              </w:rPr>
              <w:t>2</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6M201</w:t>
            </w:r>
            <w:r>
              <w:rPr>
                <w:rFonts w:hint="eastAsia" w:ascii="宋体" w:hAnsi="宋体" w:cs="宋体"/>
                <w:color w:val="000000"/>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20000</w:t>
            </w:r>
            <w:r>
              <w:rPr>
                <w:rFonts w:hint="eastAsia" w:ascii="宋体" w:hAnsi="宋体" w:cs="宋体"/>
                <w:color w:val="000000"/>
                <w:kern w:val="0"/>
                <w:lang w:val="en-US" w:eastAsia="zh-CN"/>
              </w:rPr>
              <w:t>402</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Z700222100017</w:t>
            </w:r>
            <w:r>
              <w:rPr>
                <w:rFonts w:hint="eastAsia" w:ascii="宋体" w:hAnsi="宋体" w:cs="宋体"/>
                <w:lang w:val="en-US" w:eastAsia="zh-CN"/>
              </w:rPr>
              <w:t>7</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2020年4月8日至2020年4月14日。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2020年4月</w:t>
            </w:r>
            <w:r>
              <w:rPr>
                <w:rFonts w:hint="eastAsia" w:ascii="宋体" w:hAnsi="宋体" w:cs="宋体"/>
                <w:color w:val="000000"/>
                <w:kern w:val="0"/>
                <w:lang w:val="en-US" w:eastAsia="zh-CN"/>
              </w:rPr>
              <w:t>15</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首次开放期为2020年10月9日至2020年10月13日，首个确认日为2020年10月14日。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+2.6%。</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1．销售手续费。本产品管理人收取年化0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的销售手续费，每日计提，每个投资周期结束后收取。</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的托管费，每日计提，每个投资周期结束后收取。</w:t>
            </w:r>
          </w:p>
          <w:p>
            <w:pPr>
              <w:rPr>
                <w:rFonts w:ascii="宋体" w:hAnsi="宋体" w:cs="宋体"/>
                <w:color w:val="000000"/>
                <w:kern w:val="0"/>
              </w:rPr>
            </w:pPr>
            <w:r>
              <w:rPr>
                <w:rFonts w:hint="eastAsia" w:ascii="宋体" w:hAnsi="宋体" w:cs="宋体"/>
                <w:color w:val="000000"/>
                <w:kern w:val="0"/>
              </w:rPr>
              <w:t>3．固定管理费。本产品管理人收取年化0.</w:t>
            </w:r>
            <w:r>
              <w:rPr>
                <w:rFonts w:hint="eastAsia" w:ascii="宋体" w:hAnsi="宋体" w:cs="宋体"/>
                <w:color w:val="000000"/>
                <w:kern w:val="0"/>
                <w:lang w:val="en-US" w:eastAsia="zh-CN"/>
              </w:rPr>
              <w:t>3</w:t>
            </w:r>
            <w:r>
              <w:rPr>
                <w:rFonts w:ascii="宋体" w:hAnsi="宋体" w:cs="宋体"/>
                <w:color w:val="000000"/>
                <w:kern w:val="0"/>
              </w:rPr>
              <w:t>%</w:t>
            </w:r>
            <w:r>
              <w:rPr>
                <w:rFonts w:hint="eastAsia" w:ascii="宋体" w:hAnsi="宋体" w:cs="宋体"/>
                <w:color w:val="000000"/>
                <w:kern w:val="0"/>
              </w:rPr>
              <w:t>的固定管理费，每日计提，每个投资周期结束后收取。</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理财计划财产的年化销售手续费率为0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销售手续费原则上按日计提，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理财托管人的托管费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E为本产品存续总份额</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理财管理人的固定管理费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3</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3</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E为本产品存续总份额</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示例一：扣除托管费、固定管理费和销售手续费后，投资收益率超越业绩比较基准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为5.60%，期间无分红。赎回时扣除增值税、托管费、销售手续费、固定管理费后，如产品净值为1.0615，此时，(1.0615/1.00-1)×365/362=6.20%&gt;5.60%，即投资收益超越业绩比较基准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示例二：扣除托管费、固定管理费和销售手续费后，投资收益率未达到业绩比较基准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示例三：扣除托管费、固定管理费和销售手续费后，投资发生亏损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numPr>
          <w:ilvl w:val="0"/>
          <w:numId w:val="16"/>
        </w:numPr>
        <w:spacing w:line="520" w:lineRule="exact"/>
        <w:ind w:hanging="142"/>
        <w:rPr>
          <w:rFonts w:ascii="Cambria" w:hAnsi="Cambria" w:cs="宋体"/>
          <w:b/>
          <w:bCs/>
          <w:kern w:val="28"/>
          <w:sz w:val="28"/>
          <w:szCs w:val="28"/>
        </w:rPr>
      </w:pP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0"/>
        </w:numPr>
        <w:spacing w:line="360" w:lineRule="auto"/>
        <w:ind w:left="420" w:leftChars="0"/>
        <w:rPr>
          <w:rFonts w:ascii="宋体" w:hAnsi="宋体"/>
          <w:kern w:val="0"/>
        </w:rPr>
      </w:pPr>
      <w:r>
        <w:rPr>
          <w:rFonts w:hint="eastAsia" w:ascii="宋体" w:hAnsi="宋体"/>
          <w:kern w:val="0"/>
          <w:lang w:eastAsia="zh-CN"/>
        </w:rPr>
        <w:t>（</w:t>
      </w:r>
      <w:r>
        <w:rPr>
          <w:rFonts w:hint="eastAsia" w:ascii="宋体" w:hAnsi="宋体"/>
          <w:kern w:val="0"/>
          <w:lang w:val="en-US" w:eastAsia="zh-CN"/>
        </w:rPr>
        <w:t>二</w:t>
      </w:r>
      <w:r>
        <w:rPr>
          <w:rFonts w:hint="eastAsia" w:ascii="宋体" w:hAnsi="宋体"/>
          <w:kern w:val="0"/>
          <w:lang w:eastAsia="zh-CN"/>
        </w:rPr>
        <w:t>）</w:t>
      </w:r>
      <w:r>
        <w:rPr>
          <w:rFonts w:hint="eastAsia" w:ascii="宋体" w:hAnsi="宋体"/>
          <w:kern w:val="0"/>
        </w:rPr>
        <w:t>投诉流程及联络方式</w:t>
      </w:r>
    </w:p>
    <w:p>
      <w:pPr>
        <w:spacing w:line="360" w:lineRule="auto"/>
        <w:ind w:firstLine="420" w:firstLineChars="200"/>
        <w:rPr>
          <w:rFonts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ascii="宋体" w:hAnsi="宋体"/>
          <w:kern w:val="0"/>
          <w:lang w:val="zh-CN"/>
        </w:rPr>
      </w:pPr>
      <w:r>
        <w:rPr>
          <w:rFonts w:hint="eastAsia" w:ascii="宋体" w:hAnsi="宋体"/>
          <w:kern w:val="0"/>
        </w:rPr>
        <w:t>石嘴山银行官网网站：</w:t>
      </w:r>
      <w:r>
        <w:fldChar w:fldCharType="begin"/>
      </w:r>
      <w:r>
        <w:instrText xml:space="preserve">HYPERLINK "http://www.szsccb.com"</w:instrText>
      </w:r>
      <w:r>
        <w:fldChar w:fldCharType="separate"/>
      </w:r>
      <w:r>
        <w:rPr>
          <w:rStyle w:val="16"/>
          <w:rFonts w:hint="eastAsia" w:ascii="宋体" w:hAnsi="宋体"/>
          <w:kern w:val="0"/>
        </w:rPr>
        <w:t>www.szsccb.com</w:t>
      </w:r>
      <w: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三</w:t>
      </w:r>
      <w:r>
        <w:rPr>
          <w:rFonts w:hint="eastAsia" w:ascii="宋体" w:hAnsi="宋体"/>
          <w:kern w:val="0"/>
          <w:lang w:eastAsia="zh-CN"/>
        </w:rPr>
        <w:t>）</w:t>
      </w:r>
      <w:r>
        <w:rPr>
          <w:rFonts w:hint="eastAsia" w:ascii="宋体" w:hAnsi="宋体"/>
          <w:kern w:val="0"/>
        </w:rPr>
        <w:t>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spacing w:line="520" w:lineRule="exact"/>
        <w:ind w:firstLine="0" w:firstLineChars="0"/>
        <w:rPr>
          <w:rFonts w:hint="eastAsia" w:ascii="宋体" w:hAnsi="Wingdings" w:cs="宋体"/>
          <w:color w:val="000000"/>
          <w:kern w:val="0"/>
        </w:rPr>
      </w:pPr>
      <w:bookmarkStart w:id="3" w:name="_GoBack"/>
      <w:bookmarkEnd w:id="3"/>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82" w:firstLineChars="200"/>
        <w:rPr>
          <w:rFonts w:ascii="宋体" w:hAnsi="宋体"/>
          <w:b/>
          <w:sz w:val="24"/>
        </w:rPr>
      </w:pPr>
      <w:r>
        <w:rPr>
          <w:rFonts w:hint="eastAsia" w:ascii="宋体" w:hAnsi="宋体"/>
          <w:b/>
          <w:sz w:val="24"/>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82" w:firstLineChars="200"/>
        <w:rPr>
          <w:rFonts w:ascii="宋体" w:hAnsi="宋体"/>
          <w:b/>
          <w:sz w:val="24"/>
        </w:rPr>
      </w:pPr>
      <w:r>
        <w:rPr>
          <w:rFonts w:hint="eastAsia" w:ascii="宋体" w:hAnsi="宋体"/>
          <w:b/>
          <w:sz w:val="24"/>
        </w:rPr>
        <w:t>理财非存款、产品有风险、投资须谨慎，理财计划过往业绩不代表其未来表现，不等于理财计划实际收益。</w:t>
      </w:r>
    </w:p>
    <w:p>
      <w:pPr>
        <w:widowControl/>
        <w:autoSpaceDE w:val="0"/>
        <w:spacing w:line="360" w:lineRule="auto"/>
        <w:ind w:firstLine="480" w:firstLineChars="200"/>
        <w:rPr>
          <w:rFonts w:ascii="宋体" w:hAnsi="宋体"/>
          <w:sz w:val="24"/>
        </w:rPr>
      </w:pPr>
      <w:r>
        <w:rPr>
          <w:rFonts w:hint="eastAsia" w:ascii="宋体" w:hAnsi="宋体"/>
          <w:sz w:val="24"/>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80" w:firstLineChars="200"/>
        <w:rPr>
          <w:rFonts w:ascii="宋体" w:hAnsi="宋体"/>
          <w:sz w:val="24"/>
        </w:rPr>
      </w:pPr>
      <w:r>
        <w:rPr>
          <w:rFonts w:hint="eastAsia" w:ascii="宋体" w:hAnsi="宋体"/>
          <w:sz w:val="24"/>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80" w:firstLineChars="200"/>
        <w:rPr>
          <w:rFonts w:ascii="宋体" w:hAnsi="宋体"/>
          <w:sz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名词释义</w:t>
      </w:r>
    </w:p>
    <w:p>
      <w:pPr>
        <w:widowControl/>
        <w:autoSpaceDE w:val="0"/>
        <w:spacing w:line="360" w:lineRule="auto"/>
        <w:ind w:firstLine="480" w:firstLineChars="200"/>
        <w:jc w:val="left"/>
        <w:rPr>
          <w:rFonts w:ascii="宋体" w:hAnsi="宋体"/>
          <w:sz w:val="24"/>
        </w:rPr>
      </w:pPr>
      <w:r>
        <w:rPr>
          <w:rFonts w:hint="eastAsia" w:ascii="宋体" w:hAnsi="宋体"/>
          <w:sz w:val="24"/>
        </w:rPr>
        <w:t>详见对应期次的理财计划产品说明书“释义”部分。</w:t>
      </w:r>
    </w:p>
    <w:p>
      <w:pPr>
        <w:widowControl/>
        <w:autoSpaceDE w:val="0"/>
        <w:spacing w:line="360" w:lineRule="auto"/>
        <w:ind w:firstLine="480" w:firstLineChars="200"/>
        <w:jc w:val="left"/>
        <w:rPr>
          <w:rFonts w:ascii="宋体" w:hAnsi="宋体"/>
          <w:sz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投资者权利与义务</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Cs w:val="24"/>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Cs w:val="24"/>
        </w:rPr>
      </w:pPr>
      <w:r>
        <w:rPr>
          <w:rFonts w:hint="eastAsia" w:ascii="宋体" w:hAnsi="宋体" w:cs="黑体"/>
          <w:b/>
          <w:szCs w:val="24"/>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Cs w:val="24"/>
        </w:rPr>
        <w:t>投资冷静期相关约定详见理财计划产品说明书。</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Cs w:val="24"/>
        </w:rPr>
      </w:pPr>
      <w:r>
        <w:rPr>
          <w:rFonts w:hint="eastAsia" w:ascii="宋体" w:hAnsi="宋体" w:cs="黑体"/>
          <w:b/>
          <w:szCs w:val="24"/>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Cs w:val="24"/>
        </w:rPr>
        <w:t>。</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Cs w:val="24"/>
        </w:rPr>
      </w:pPr>
      <w:r>
        <w:rPr>
          <w:rFonts w:hint="eastAsia" w:ascii="宋体" w:hAnsi="宋体" w:cs="黑体"/>
          <w:szCs w:val="24"/>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Cs w:val="24"/>
        </w:rPr>
      </w:pPr>
      <w:r>
        <w:rPr>
          <w:rFonts w:hint="eastAsia" w:ascii="宋体" w:hAnsi="宋体" w:cs="黑体"/>
          <w:b/>
          <w:szCs w:val="24"/>
        </w:rPr>
        <w:t>投资者个人信息授权</w:t>
      </w:r>
    </w:p>
    <w:p>
      <w:pPr>
        <w:pStyle w:val="10"/>
        <w:widowControl/>
        <w:spacing w:line="360" w:lineRule="auto"/>
        <w:ind w:firstLine="482" w:firstLineChars="200"/>
        <w:rPr>
          <w:rFonts w:ascii="宋体" w:hAnsi="宋体" w:cs="黑体"/>
          <w:b/>
          <w:szCs w:val="24"/>
        </w:rPr>
      </w:pPr>
      <w:r>
        <w:rPr>
          <w:rFonts w:hint="eastAsia" w:ascii="宋体" w:hAnsi="宋体" w:cs="黑体"/>
          <w:b/>
          <w:szCs w:val="24"/>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82" w:firstLineChars="200"/>
        <w:rPr>
          <w:rFonts w:ascii="宋体" w:hAnsi="宋体" w:cs="黑体"/>
          <w:b/>
          <w:szCs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代理销售机构的权利与义务</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b/>
          <w:szCs w:val="24"/>
        </w:rPr>
        <w:t>代理销售机构非本计划的发行、管理机构，对本计划的业绩不承担任何保证和其他经济责任，不承担本计划的投资、兑付和风险管理责任</w:t>
      </w:r>
      <w:r>
        <w:rPr>
          <w:rFonts w:hint="eastAsia" w:ascii="宋体" w:hAnsi="宋体" w:cs="黑体"/>
          <w:szCs w:val="24"/>
        </w:rPr>
        <w:t>。</w:t>
      </w:r>
    </w:p>
    <w:p>
      <w:pPr>
        <w:pStyle w:val="10"/>
        <w:widowControl/>
        <w:numPr>
          <w:ilvl w:val="0"/>
          <w:numId w:val="35"/>
        </w:numPr>
        <w:autoSpaceDE w:val="0"/>
        <w:spacing w:line="360" w:lineRule="auto"/>
        <w:contextualSpacing/>
        <w:rPr>
          <w:rFonts w:ascii="宋体" w:hAnsi="宋体" w:cs="黑体"/>
          <w:szCs w:val="24"/>
        </w:rPr>
      </w:pPr>
      <w:r>
        <w:rPr>
          <w:rFonts w:hint="eastAsia" w:ascii="宋体" w:hAnsi="宋体" w:cs="黑体"/>
          <w:szCs w:val="24"/>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Cs w:val="24"/>
        </w:rPr>
      </w:pPr>
      <w:r>
        <w:rPr>
          <w:rFonts w:hint="eastAsia" w:ascii="宋体" w:hAnsi="宋体" w:cs="黑体"/>
          <w:szCs w:val="24"/>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Cs w:val="24"/>
        </w:rPr>
      </w:pPr>
      <w:r>
        <w:rPr>
          <w:rFonts w:hint="eastAsia" w:ascii="宋体" w:hAnsi="宋体" w:cs="黑体"/>
          <w:szCs w:val="24"/>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Cs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理财计划认（申）购、赎回及终止</w:t>
      </w:r>
    </w:p>
    <w:p>
      <w:pPr>
        <w:pStyle w:val="10"/>
        <w:widowControl/>
        <w:numPr>
          <w:ilvl w:val="0"/>
          <w:numId w:val="36"/>
        </w:numPr>
        <w:autoSpaceDE w:val="0"/>
        <w:spacing w:line="360" w:lineRule="auto"/>
        <w:contextualSpacing/>
        <w:rPr>
          <w:rFonts w:ascii="宋体" w:hAnsi="宋体" w:cs="黑体"/>
          <w:szCs w:val="24"/>
        </w:rPr>
      </w:pPr>
      <w:r>
        <w:rPr>
          <w:rFonts w:hint="eastAsia" w:ascii="宋体" w:hAnsi="宋体" w:cs="黑体"/>
          <w:szCs w:val="24"/>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Cs w:val="24"/>
        </w:rPr>
      </w:pPr>
      <w:r>
        <w:rPr>
          <w:rFonts w:hint="eastAsia" w:ascii="宋体" w:hAnsi="宋体" w:cs="黑体"/>
          <w:szCs w:val="24"/>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Cs w:val="24"/>
        </w:rPr>
      </w:pPr>
      <w:r>
        <w:rPr>
          <w:rFonts w:hint="eastAsia" w:ascii="宋体" w:hAnsi="宋体" w:cs="黑体"/>
          <w:szCs w:val="24"/>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Cs w:val="24"/>
        </w:rPr>
      </w:pPr>
      <w:r>
        <w:rPr>
          <w:rFonts w:hint="eastAsia" w:ascii="宋体" w:hAnsi="宋体" w:cs="黑体"/>
          <w:szCs w:val="24"/>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Cs w:val="24"/>
        </w:rPr>
      </w:pPr>
      <w:r>
        <w:rPr>
          <w:rFonts w:hint="eastAsia" w:ascii="宋体" w:hAnsi="宋体" w:cs="黑体"/>
          <w:szCs w:val="24"/>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Cs w:val="24"/>
        </w:rPr>
      </w:pPr>
      <w:r>
        <w:rPr>
          <w:rFonts w:hint="eastAsia" w:ascii="宋体" w:hAnsi="宋体" w:cs="黑体"/>
          <w:szCs w:val="24"/>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Cs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违约责任及免责条款</w:t>
      </w:r>
    </w:p>
    <w:p>
      <w:pPr>
        <w:pStyle w:val="10"/>
        <w:widowControl/>
        <w:numPr>
          <w:ilvl w:val="0"/>
          <w:numId w:val="37"/>
        </w:numPr>
        <w:autoSpaceDE w:val="0"/>
        <w:spacing w:line="360" w:lineRule="auto"/>
        <w:contextualSpacing/>
        <w:rPr>
          <w:rFonts w:ascii="宋体" w:hAnsi="宋体" w:cs="黑体"/>
          <w:szCs w:val="24"/>
        </w:rPr>
      </w:pPr>
      <w:r>
        <w:rPr>
          <w:rFonts w:hint="eastAsia" w:ascii="宋体" w:hAnsi="宋体" w:cs="黑体"/>
          <w:szCs w:val="24"/>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Cs w:val="24"/>
        </w:rPr>
      </w:pPr>
      <w:r>
        <w:rPr>
          <w:rFonts w:hint="eastAsia" w:ascii="宋体" w:hAnsi="宋体" w:cs="黑体"/>
          <w:szCs w:val="24"/>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Cs w:val="24"/>
        </w:rPr>
      </w:pPr>
      <w:r>
        <w:rPr>
          <w:rFonts w:hint="eastAsia" w:ascii="宋体" w:hAnsi="宋体" w:cs="黑体"/>
          <w:szCs w:val="24"/>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Cs w:val="24"/>
        </w:rPr>
      </w:pPr>
      <w:r>
        <w:rPr>
          <w:rFonts w:hint="eastAsia" w:ascii="宋体" w:hAnsi="宋体" w:cs="黑体"/>
          <w:szCs w:val="24"/>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Cs w:val="24"/>
        </w:rPr>
      </w:pPr>
      <w:r>
        <w:rPr>
          <w:rFonts w:hint="eastAsia" w:ascii="宋体" w:hAnsi="宋体" w:cs="黑体"/>
          <w:szCs w:val="24"/>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Cs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适用法律与争议解决</w:t>
      </w:r>
    </w:p>
    <w:p>
      <w:pPr>
        <w:pStyle w:val="10"/>
        <w:widowControl/>
        <w:autoSpaceDE w:val="0"/>
        <w:spacing w:line="360" w:lineRule="auto"/>
        <w:ind w:firstLine="480" w:firstLineChars="200"/>
        <w:rPr>
          <w:rFonts w:ascii="宋体" w:hAnsi="宋体" w:cs="黑体"/>
          <w:szCs w:val="24"/>
        </w:rPr>
      </w:pPr>
      <w:r>
        <w:rPr>
          <w:rFonts w:hint="eastAsia" w:ascii="宋体" w:hAnsi="宋体" w:cs="黑体"/>
          <w:szCs w:val="24"/>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82" w:firstLineChars="200"/>
        <w:rPr>
          <w:rFonts w:ascii="宋体" w:hAnsi="宋体" w:cs="黑体"/>
          <w:b/>
          <w:szCs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协议生效和终止</w:t>
      </w:r>
    </w:p>
    <w:p>
      <w:pPr>
        <w:pStyle w:val="10"/>
        <w:widowControl/>
        <w:numPr>
          <w:ilvl w:val="0"/>
          <w:numId w:val="38"/>
        </w:numPr>
        <w:autoSpaceDE w:val="0"/>
        <w:spacing w:line="360" w:lineRule="auto"/>
        <w:contextualSpacing/>
        <w:rPr>
          <w:rFonts w:ascii="宋体" w:hAnsi="宋体" w:cs="黑体"/>
          <w:szCs w:val="24"/>
        </w:rPr>
      </w:pPr>
      <w:r>
        <w:rPr>
          <w:rFonts w:hint="eastAsia" w:ascii="宋体" w:hAnsi="宋体" w:cs="黑体"/>
          <w:szCs w:val="24"/>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Cs w:val="24"/>
        </w:rPr>
      </w:pPr>
      <w:r>
        <w:rPr>
          <w:rFonts w:hint="eastAsia" w:ascii="宋体" w:hAnsi="宋体" w:cs="黑体"/>
          <w:szCs w:val="24"/>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Cs w:val="24"/>
        </w:rPr>
      </w:pPr>
      <w:r>
        <w:rPr>
          <w:rFonts w:hint="eastAsia" w:ascii="宋体" w:hAnsi="宋体" w:cs="黑体"/>
          <w:szCs w:val="24"/>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Cs w:val="24"/>
        </w:rPr>
      </w:pPr>
      <w:r>
        <w:rPr>
          <w:rFonts w:hint="eastAsia" w:ascii="宋体" w:hAnsi="宋体" w:cs="黑体"/>
          <w:szCs w:val="24"/>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Cs w:val="24"/>
        </w:rPr>
      </w:pPr>
    </w:p>
    <w:p>
      <w:pPr>
        <w:widowControl/>
        <w:numPr>
          <w:ilvl w:val="0"/>
          <w:numId w:val="33"/>
        </w:numPr>
        <w:autoSpaceDE w:val="0"/>
        <w:spacing w:line="360" w:lineRule="auto"/>
        <w:ind w:firstLine="482" w:firstLineChars="200"/>
        <w:rPr>
          <w:rFonts w:ascii="宋体" w:hAnsi="宋体"/>
          <w:b/>
          <w:sz w:val="24"/>
        </w:rPr>
      </w:pPr>
      <w:r>
        <w:rPr>
          <w:rFonts w:hint="eastAsia" w:ascii="宋体" w:hAnsi="宋体"/>
          <w:b/>
          <w:sz w:val="24"/>
        </w:rPr>
        <w:t xml:space="preserve">附则 </w:t>
      </w:r>
    </w:p>
    <w:p>
      <w:pPr>
        <w:pStyle w:val="10"/>
        <w:widowControl/>
        <w:numPr>
          <w:ilvl w:val="0"/>
          <w:numId w:val="39"/>
        </w:numPr>
        <w:autoSpaceDE w:val="0"/>
        <w:spacing w:line="360" w:lineRule="auto"/>
        <w:contextualSpacing/>
        <w:rPr>
          <w:rFonts w:ascii="宋体" w:hAnsi="宋体" w:cs="黑体"/>
          <w:szCs w:val="24"/>
        </w:rPr>
      </w:pPr>
      <w:r>
        <w:rPr>
          <w:rFonts w:hint="eastAsia" w:ascii="宋体" w:hAnsi="宋体" w:cs="黑体"/>
          <w:szCs w:val="24"/>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Cs w:val="24"/>
        </w:rPr>
      </w:pPr>
      <w:r>
        <w:rPr>
          <w:rFonts w:hint="eastAsia" w:ascii="宋体" w:hAnsi="宋体" w:cs="黑体"/>
          <w:szCs w:val="24"/>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Cs w:val="24"/>
        </w:rPr>
      </w:pPr>
      <w:r>
        <w:rPr>
          <w:rFonts w:hint="eastAsia" w:ascii="宋体" w:hAnsi="宋体" w:cs="黑体"/>
          <w:szCs w:val="24"/>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Cs w:val="24"/>
        </w:rPr>
      </w:pPr>
    </w:p>
    <w:p>
      <w:pPr>
        <w:widowControl/>
        <w:spacing w:line="360" w:lineRule="auto"/>
        <w:jc w:val="right"/>
        <w:rPr>
          <w:rFonts w:ascii="宋体" w:hAnsi="宋体" w:cs="宋体"/>
          <w:color w:val="000000"/>
          <w:kern w:val="0"/>
          <w:sz w:val="24"/>
        </w:rPr>
      </w:pPr>
      <w:r>
        <w:rPr>
          <w:rFonts w:hint="eastAsia" w:ascii="宋体" w:hAnsi="宋体" w:cs="宋体"/>
          <w:kern w:val="0"/>
          <w:sz w:val="24"/>
        </w:rPr>
        <w:t>杭银理财有限责任公司</w:t>
      </w:r>
    </w:p>
    <w:p>
      <w:pPr>
        <w:spacing w:line="360" w:lineRule="auto"/>
        <w:rPr>
          <w:rFonts w:ascii="宋体" w:hAnsi="宋体"/>
          <w:sz w:val="24"/>
        </w:rPr>
      </w:pPr>
      <w:r>
        <w:rPr>
          <w:rFonts w:hint="eastAsia" w:ascii="宋体" w:hAnsi="宋体" w:cs="Times New Roman"/>
          <w:color w:val="000000"/>
          <w:sz w:val="24"/>
        </w:rPr>
        <w:br w:type="page"/>
      </w:r>
      <w:r>
        <w:rPr>
          <w:rFonts w:hint="eastAsia" w:ascii="宋体" w:hAnsi="宋体"/>
          <w:sz w:val="24"/>
        </w:rPr>
        <w:t>本页为纸质形式（如有）销售协议书签章页</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rFonts w:ascii="宋体" w:hAnsi="宋体"/>
          <w:b/>
          <w:sz w:val="24"/>
        </w:rPr>
      </w:pPr>
      <w:r>
        <w:rPr>
          <w:rFonts w:hint="eastAsia" w:ascii="宋体" w:hAnsi="宋体"/>
          <w:b/>
          <w:sz w:val="24"/>
        </w:rPr>
        <w:t>投资者（签字）：</w:t>
      </w:r>
    </w:p>
    <w:p>
      <w:pPr>
        <w:spacing w:beforeLines="50" w:afterLines="50" w:line="360" w:lineRule="auto"/>
        <w:ind w:firstLine="4800" w:firstLineChars="2000"/>
        <w:jc w:val="right"/>
        <w:rPr>
          <w:rFonts w:ascii="Arial" w:hAnsi="Arial" w:cs="Times New Roman"/>
          <w:sz w:val="24"/>
        </w:rPr>
      </w:pPr>
      <w:r>
        <w:rPr>
          <w:rFonts w:hint="eastAsia" w:ascii="Arial" w:hAnsi="Arial" w:cs="宋体"/>
          <w:sz w:val="24"/>
        </w:rPr>
        <w:t>年    月   日</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代理销售机构签章：</w:t>
      </w:r>
    </w:p>
    <w:p>
      <w:pPr>
        <w:spacing w:line="360" w:lineRule="auto"/>
        <w:rPr>
          <w:rFonts w:ascii="宋体" w:hAnsi="宋体"/>
          <w:b/>
          <w:sz w:val="24"/>
        </w:rPr>
      </w:pPr>
    </w:p>
    <w:p>
      <w:pPr>
        <w:spacing w:line="360" w:lineRule="auto"/>
        <w:rPr>
          <w:rFonts w:ascii="宋体" w:hAnsi="宋体"/>
          <w:b/>
          <w:sz w:val="24"/>
        </w:rPr>
      </w:pPr>
    </w:p>
    <w:p>
      <w:pPr>
        <w:spacing w:line="520" w:lineRule="exact"/>
        <w:ind w:firstLine="484" w:firstLineChars="202"/>
        <w:rPr>
          <w:rFonts w:hint="eastAsia" w:ascii="宋体" w:hAnsi="Wingdings" w:cs="宋体"/>
          <w:color w:val="000000"/>
          <w:kern w:val="0"/>
        </w:rPr>
      </w:pPr>
      <w:r>
        <w:rPr>
          <w:rFonts w:hint="eastAsia" w:ascii="Arial" w:hAnsi="Arial" w:cs="宋体"/>
          <w:sz w:val="24"/>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D8BBA51B"/>
    <w:multiLevelType w:val="singleLevel"/>
    <w:tmpl w:val="D8BBA51B"/>
    <w:lvl w:ilvl="0" w:tentative="0">
      <w:start w:val="11"/>
      <w:numFmt w:val="chineseCounting"/>
      <w:suff w:val="nothing"/>
      <w:lvlText w:val="%1、"/>
      <w:lvlJc w:val="left"/>
      <w:rPr>
        <w:rFonts w:hint="eastAsia"/>
      </w:rPr>
    </w:lvl>
  </w:abstractNum>
  <w:abstractNum w:abstractNumId="3">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3">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6">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1">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B87B9D3"/>
    <w:multiLevelType w:val="singleLevel"/>
    <w:tmpl w:val="5B87B9D3"/>
    <w:lvl w:ilvl="0" w:tentative="0">
      <w:start w:val="4"/>
      <w:numFmt w:val="chineseCounting"/>
      <w:suff w:val="nothing"/>
      <w:lvlText w:val="（%1）"/>
      <w:lvlJc w:val="left"/>
    </w:lvl>
  </w:abstractNum>
  <w:abstractNum w:abstractNumId="31">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5"/>
  </w:num>
  <w:num w:numId="2">
    <w:abstractNumId w:val="30"/>
  </w:num>
  <w:num w:numId="3">
    <w:abstractNumId w:val="33"/>
  </w:num>
  <w:num w:numId="4">
    <w:abstractNumId w:val="24"/>
  </w:num>
  <w:num w:numId="5">
    <w:abstractNumId w:val="9"/>
  </w:num>
  <w:num w:numId="6">
    <w:abstractNumId w:val="6"/>
  </w:num>
  <w:num w:numId="7">
    <w:abstractNumId w:val="19"/>
  </w:num>
  <w:num w:numId="8">
    <w:abstractNumId w:val="8"/>
  </w:num>
  <w:num w:numId="9">
    <w:abstractNumId w:val="18"/>
  </w:num>
  <w:num w:numId="10">
    <w:abstractNumId w:val="20"/>
  </w:num>
  <w:num w:numId="11">
    <w:abstractNumId w:val="37"/>
  </w:num>
  <w:num w:numId="12">
    <w:abstractNumId w:val="12"/>
  </w:num>
  <w:num w:numId="13">
    <w:abstractNumId w:val="27"/>
  </w:num>
  <w:num w:numId="14">
    <w:abstractNumId w:val="28"/>
  </w:num>
  <w:num w:numId="15">
    <w:abstractNumId w:val="15"/>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
  </w:num>
  <w:num w:numId="35">
    <w:abstractNumId w:val="0"/>
  </w:num>
  <w:num w:numId="36">
    <w:abstractNumId w:val="26"/>
  </w:num>
  <w:num w:numId="37">
    <w:abstractNumId w:val="3"/>
  </w:num>
  <w:num w:numId="38">
    <w:abstractNumId w:val="1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C57AC3"/>
    <w:rsid w:val="038269B5"/>
    <w:rsid w:val="04CD156A"/>
    <w:rsid w:val="060615E0"/>
    <w:rsid w:val="075E25B5"/>
    <w:rsid w:val="07EB4709"/>
    <w:rsid w:val="09AC6127"/>
    <w:rsid w:val="0F0043BB"/>
    <w:rsid w:val="13842138"/>
    <w:rsid w:val="155D0FAE"/>
    <w:rsid w:val="15DD3C7D"/>
    <w:rsid w:val="194950A1"/>
    <w:rsid w:val="1B8B2D6E"/>
    <w:rsid w:val="1D4B4659"/>
    <w:rsid w:val="1DA941EB"/>
    <w:rsid w:val="21AE43C0"/>
    <w:rsid w:val="24B6088C"/>
    <w:rsid w:val="27660D0E"/>
    <w:rsid w:val="28FB441D"/>
    <w:rsid w:val="29526849"/>
    <w:rsid w:val="29E37A3B"/>
    <w:rsid w:val="2CF11704"/>
    <w:rsid w:val="2D45719C"/>
    <w:rsid w:val="2DEC75F3"/>
    <w:rsid w:val="2E0B2CD2"/>
    <w:rsid w:val="30E90FE8"/>
    <w:rsid w:val="32C55323"/>
    <w:rsid w:val="32DF7175"/>
    <w:rsid w:val="35892A55"/>
    <w:rsid w:val="3BA24BB0"/>
    <w:rsid w:val="3FCB3B1C"/>
    <w:rsid w:val="433D1B9E"/>
    <w:rsid w:val="45111D82"/>
    <w:rsid w:val="481B099C"/>
    <w:rsid w:val="4ACA4F6B"/>
    <w:rsid w:val="50B01C04"/>
    <w:rsid w:val="50DD7DA0"/>
    <w:rsid w:val="510826B2"/>
    <w:rsid w:val="52EC289B"/>
    <w:rsid w:val="5A726ACA"/>
    <w:rsid w:val="5BE91D19"/>
    <w:rsid w:val="5CEF711D"/>
    <w:rsid w:val="5E7332FD"/>
    <w:rsid w:val="62C16DB1"/>
    <w:rsid w:val="64EA430A"/>
    <w:rsid w:val="68AD3C29"/>
    <w:rsid w:val="6BB97DF1"/>
    <w:rsid w:val="6BE12EF7"/>
    <w:rsid w:val="6C361A89"/>
    <w:rsid w:val="6C6A476A"/>
    <w:rsid w:val="6CFB1020"/>
    <w:rsid w:val="6E05628E"/>
    <w:rsid w:val="6EB06FA0"/>
    <w:rsid w:val="73E23960"/>
    <w:rsid w:val="78E860BE"/>
    <w:rsid w:val="7A5C4717"/>
    <w:rsid w:val="7B69328D"/>
    <w:rsid w:val="7C19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20</Pages>
  <Words>2564</Words>
  <Characters>14621</Characters>
  <Lines>121</Lines>
  <Paragraphs>34</Paragraphs>
  <TotalTime>0</TotalTime>
  <ScaleCrop>false</ScaleCrop>
  <LinksUpToDate>false</LinksUpToDate>
  <CharactersWithSpaces>17151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何婷婷</cp:lastModifiedBy>
  <cp:lastPrinted>2020-04-15T04:53:00Z</cp:lastPrinted>
  <dcterms:modified xsi:type="dcterms:W3CDTF">2022-04-12T09:19:56Z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