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您应仔细阅读理财产品风险揭示书、理财产品说明书、投资者权益须知、理财计划投资协议书、理财计划销售协议书全部条款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color w:val="333333"/>
          <w:shd w:val="clear" w:color="auto"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杭银理财理财计划投资协议书》、《杭银理财理财计划销售协议书》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杭银理财理财计划投资协议书》、《杭银理财理财计划销售协议书》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添益1903期理财计划产品说明书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w:t>
      </w:r>
      <w:r>
        <w:rPr>
          <w:rFonts w:hint="eastAsia" w:ascii="宋体" w:hAnsi="Wingdings" w:cs="宋体"/>
          <w:color w:val="000000"/>
          <w:kern w:val="0"/>
        </w:rPr>
        <w:t>74</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杭银理财幸福99季添益1903期理财计划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季添益1903期理财计划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3M1903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该产品在全国银行业理财信息登记系统的原登记编码是C1092019000691，</w:t>
            </w:r>
            <w:r>
              <w:rPr>
                <w:rFonts w:hint="eastAsia" w:ascii="宋体" w:hAnsi="宋体" w:cs="宋体"/>
              </w:rPr>
              <w:t>变更登记后为〖</w:t>
            </w:r>
            <w:r>
              <w:rPr>
                <w:rFonts w:ascii="宋体" w:hAnsi="宋体" w:cs="宋体"/>
              </w:rPr>
              <w:t>Z70022210002</w:t>
            </w:r>
            <w:r>
              <w:rPr>
                <w:rFonts w:hint="eastAsia" w:ascii="宋体" w:hAnsi="宋体" w:cs="宋体"/>
              </w:rPr>
              <w:t>74〗。</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3M1903</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ascii="宋体" w:hAnsi="宋体" w:cs="宋体"/>
                <w:color w:val="000000"/>
                <w:kern w:val="0"/>
              </w:rPr>
            </w:pPr>
            <w:r>
              <w:rPr>
                <w:rFonts w:hint="eastAsia" w:ascii="宋体" w:hAnsi="宋体"/>
                <w:color w:val="000000"/>
              </w:rPr>
              <w:t>B份额（销售代码【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3M1903B</w:t>
            </w:r>
            <w:r>
              <w:rPr>
                <w:rFonts w:hint="eastAsia" w:ascii="宋体" w:hAnsi="宋体"/>
                <w:color w:val="000000"/>
              </w:rPr>
              <w:t>】）：高净值等特邀客户专属</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规模下限为0.2亿元，产品规模上限在每个开放期进行调整，首次认购期规模上限为12亿元。若认购金额未达规模下限则管理人有权决定产品不成立，若认购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2019年6月5日至2019年6月11日。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A份额：首次认购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rPr>
              <w:t>（具体以代销机构销售要素为准）</w:t>
            </w:r>
          </w:p>
          <w:p>
            <w:pPr>
              <w:rPr>
                <w:rFonts w:ascii="宋体" w:hAnsi="宋体" w:cs="宋体"/>
                <w:color w:val="000000"/>
                <w:kern w:val="0"/>
              </w:rPr>
            </w:pPr>
            <w:r>
              <w:rPr>
                <w:rFonts w:hint="eastAsia" w:ascii="宋体" w:hAnsi="宋体" w:cs="宋体"/>
                <w:color w:val="000000"/>
                <w:kern w:val="0"/>
              </w:rPr>
              <w:t>B份额：首次认购</w:t>
            </w:r>
            <w:r>
              <w:rPr>
                <w:rFonts w:ascii="宋体" w:hAnsi="宋体" w:cs="宋体"/>
                <w:color w:val="000000"/>
                <w:kern w:val="0"/>
              </w:rPr>
              <w:t>/</w:t>
            </w:r>
            <w:r>
              <w:rPr>
                <w:rFonts w:hint="eastAsia" w:ascii="宋体" w:hAnsi="宋体" w:cs="宋体"/>
                <w:color w:val="000000"/>
                <w:kern w:val="0"/>
              </w:rPr>
              <w:t>申购起点金额20万元整，超过起点部分，应为1元的整数倍。</w:t>
            </w:r>
            <w:r>
              <w:rPr>
                <w:rFonts w:hint="eastAsia" w:ascii="宋体" w:hAnsi="宋体"/>
                <w:color w:val="000000"/>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2019年6月12日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首次开放期为2019年9月5日至2019年9月11日，首个确认日为2019年9月12日。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2.7%。</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ascii="宋体" w:hAnsi="宋体" w:cs="宋体"/>
                <w:color w:val="000000"/>
                <w:kern w:val="0"/>
              </w:rPr>
            </w:pPr>
            <w:r>
              <w:rPr>
                <w:rFonts w:hint="eastAsia" w:ascii="宋体" w:hAnsi="宋体" w:cs="宋体"/>
                <w:color w:val="333333"/>
                <w:shd w:val="clear" w:color="auto"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份的价格认购本理财产品，投资者首次购买A份额的最低金额为1元，超出部分应为1元的整数倍；首次购买B份额的最低金额为20万元，超出部分应为1元的整数倍。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确认日前一日的单位净值。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赎回份额×确认日前一日的单位净值。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ascii="宋体" w:hAnsi="宋体" w:cs="宋体"/>
                <w:color w:val="000000"/>
                <w:kern w:val="0"/>
              </w:rPr>
            </w:pPr>
            <w:r>
              <w:rPr>
                <w:rFonts w:hint="eastAsia" w:ascii="宋体" w:hAnsi="宋体" w:cs="宋体"/>
                <w:color w:val="000000"/>
                <w:kern w:val="0"/>
              </w:rPr>
              <w:t>销售服务费，每日计提。</w:t>
            </w:r>
          </w:p>
          <w:p>
            <w:pPr>
              <w:numPr>
                <w:ilvl w:val="255"/>
                <w:numId w:val="0"/>
              </w:numPr>
              <w:rPr>
                <w:rFonts w:ascii="宋体" w:hAnsi="宋体" w:cs="宋体"/>
                <w:color w:val="000000"/>
                <w:kern w:val="0"/>
              </w:rPr>
            </w:pPr>
            <w:r>
              <w:rPr>
                <w:rFonts w:hint="eastAsia" w:ascii="宋体" w:hAnsi="宋体" w:cs="宋体"/>
                <w:color w:val="000000"/>
                <w:kern w:val="0"/>
              </w:rPr>
              <w:t>A份额：收取年化0.2</w:t>
            </w:r>
            <w:r>
              <w:rPr>
                <w:rFonts w:ascii="宋体" w:hAnsi="宋体" w:cs="宋体"/>
                <w:color w:val="000000"/>
                <w:kern w:val="0"/>
              </w:rPr>
              <w:t>%</w:t>
            </w:r>
            <w:r>
              <w:rPr>
                <w:rFonts w:hint="eastAsia" w:ascii="宋体" w:hAnsi="宋体" w:cs="宋体"/>
                <w:color w:val="000000"/>
                <w:kern w:val="0"/>
              </w:rPr>
              <w:t>的销售服务费。</w:t>
            </w:r>
          </w:p>
          <w:p>
            <w:pPr>
              <w:numPr>
                <w:ilvl w:val="255"/>
                <w:numId w:val="0"/>
              </w:numPr>
              <w:rPr>
                <w:rFonts w:ascii="宋体" w:hAnsi="宋体" w:cs="宋体"/>
                <w:color w:val="000000"/>
                <w:kern w:val="0"/>
              </w:rPr>
            </w:pPr>
            <w:r>
              <w:rPr>
                <w:rFonts w:hint="eastAsia" w:ascii="宋体" w:hAnsi="宋体" w:cs="宋体"/>
                <w:color w:val="000000"/>
                <w:kern w:val="0"/>
              </w:rPr>
              <w:t>B份额：收取年化0.1</w:t>
            </w:r>
            <w:r>
              <w:rPr>
                <w:rFonts w:ascii="宋体" w:hAnsi="宋体" w:cs="宋体"/>
                <w:color w:val="000000"/>
                <w:kern w:val="0"/>
              </w:rPr>
              <w:t>%</w:t>
            </w:r>
            <w:r>
              <w:rPr>
                <w:rFonts w:hint="eastAsia" w:ascii="宋体" w:hAnsi="宋体" w:cs="宋体"/>
                <w:color w:val="000000"/>
                <w:kern w:val="0"/>
              </w:rPr>
              <w:t>的销售服务费。</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ascii="宋体" w:hAnsi="宋体" w:cs="宋体"/>
                <w:color w:val="000000"/>
                <w:kern w:val="0"/>
              </w:rPr>
            </w:pPr>
            <w:r>
              <w:rPr>
                <w:rFonts w:hint="eastAsia" w:ascii="宋体" w:hAnsi="宋体" w:cs="宋体"/>
                <w:color w:val="000000"/>
                <w:kern w:val="0"/>
              </w:rPr>
              <w:t>3.固定管理费，每日计提。</w:t>
            </w:r>
          </w:p>
          <w:p>
            <w:pPr>
              <w:rPr>
                <w:rFonts w:ascii="宋体" w:hAnsi="宋体" w:cs="宋体"/>
                <w:color w:val="000000"/>
                <w:kern w:val="0"/>
              </w:rPr>
            </w:pPr>
            <w:r>
              <w:rPr>
                <w:rFonts w:hint="eastAsia" w:ascii="宋体" w:hAnsi="宋体" w:cs="宋体"/>
                <w:color w:val="000000"/>
                <w:kern w:val="0"/>
              </w:rPr>
              <w:t>A份额：收取年化0.4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B份额：收取年化0.4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3"/>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4"/>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5"/>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7"/>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理财计划财产A份额的年化销售服务费率为0.2%，B份额的年化销售服务费率为0.1%。以A份额为例，计算方法如下：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H＝E*0.2％/365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rPr>
        <w:t>销售服务费原则上按日计提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理财计划财产A份额的年化固定管理费率为0.4%，B份额的年化固定管理费率为0.4%。以A份额为例，计算方法如下：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H＝E*0.4％/365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H为每日应计提的固定管理费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示例一：扣除托管费、固定管理费和销售服务费后，投资收益率超越业绩比较基准上限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上限部分的80%作为浮动管理费，产品业绩比较基准上限为5.60%，期间无分红。赎回时扣除增值税、托管费、销售服务费、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示例二：扣除托管费、固定管理费和销售服务费后，投资收益率未达到业绩比较基准上限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。赎回时扣除增值税、托管费、销售服务费、固定管理费等各类税费后，</w:t>
      </w: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示例三：扣除托管费、固定管理费和销售服务费后，投资发生亏损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赎回时扣除增值税、托管费、销售服务费、固定管理费等各类税费后，如产品净值为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A份额首次购买的起点金额为1元，追加购买金额必须是1元或1元的整数倍；存续份额不得低于1份；单户持有份额不得超过1亿份；B份额首次购买的起点金额为20万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1"/>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3"/>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5"/>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255"/>
          <w:numId w:val="0"/>
        </w:numPr>
        <w:spacing w:before="0" w:after="0" w:line="520" w:lineRule="exact"/>
        <w:jc w:val="both"/>
        <w:rPr>
          <w:rFonts w:cs="宋体"/>
          <w:sz w:val="28"/>
          <w:szCs w:val="28"/>
        </w:rPr>
      </w:pPr>
      <w:r>
        <w:rPr>
          <w:rFonts w:hint="eastAsia" w:cs="宋体"/>
          <w:sz w:val="28"/>
          <w:szCs w:val="28"/>
        </w:rPr>
        <w:t>十一、合作机构</w:t>
      </w:r>
    </w:p>
    <w:p>
      <w:pPr>
        <w:numPr>
          <w:ilvl w:val="0"/>
          <w:numId w:val="17"/>
        </w:numPr>
        <w:spacing w:line="300" w:lineRule="auto"/>
        <w:ind w:firstLine="424" w:firstLineChars="202"/>
        <w:rPr>
          <w:rFonts w:ascii="宋体" w:hAnsi="宋体" w:cs="宋体"/>
          <w:color w:val="000000"/>
          <w:kern w:val="0"/>
        </w:rPr>
      </w:pPr>
      <w:r>
        <w:rPr>
          <w:rFonts w:hint="eastAsia" w:ascii="宋体" w:hAnsi="宋体" w:cs="宋体"/>
          <w:color w:val="000000"/>
          <w:kern w:val="0"/>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96" w:type="dxa"/>
            <w:vAlign w:val="center"/>
          </w:tcPr>
          <w:p>
            <w:pPr>
              <w:spacing w:line="360" w:lineRule="auto"/>
              <w:jc w:val="center"/>
              <w:rPr>
                <w:rFonts w:ascii="宋体" w:hAnsi="宋体" w:cs="宋体"/>
                <w:bCs/>
              </w:rPr>
            </w:pPr>
            <w:r>
              <w:rPr>
                <w:rFonts w:hint="eastAsia" w:ascii="宋体" w:hAnsi="宋体" w:cs="宋体"/>
                <w:bCs/>
              </w:rPr>
              <w:t>托管人名称</w:t>
            </w:r>
          </w:p>
        </w:tc>
        <w:tc>
          <w:tcPr>
            <w:tcW w:w="7642" w:type="dxa"/>
          </w:tcPr>
          <w:p>
            <w:pPr>
              <w:spacing w:line="360" w:lineRule="auto"/>
              <w:jc w:val="left"/>
              <w:rPr>
                <w:rFonts w:ascii="宋体" w:hAnsi="宋体" w:cs="宋体"/>
                <w:bCs/>
              </w:rPr>
            </w:pPr>
            <w:r>
              <w:rPr>
                <w:rFonts w:hint="eastAsia" w:ascii="宋体" w:hAnsi="宋体" w:cs="宋体"/>
                <w:bCs/>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vAlign w:val="center"/>
          </w:tcPr>
          <w:p>
            <w:pPr>
              <w:spacing w:line="360" w:lineRule="auto"/>
              <w:jc w:val="center"/>
              <w:rPr>
                <w:rFonts w:ascii="宋体" w:hAnsi="宋体" w:cs="宋体"/>
                <w:bCs/>
              </w:rPr>
            </w:pPr>
            <w:r>
              <w:rPr>
                <w:rFonts w:hint="eastAsia" w:ascii="宋体" w:hAnsi="宋体" w:cs="宋体"/>
                <w:bCs/>
              </w:rPr>
              <w:t>托管人住所</w:t>
            </w:r>
          </w:p>
        </w:tc>
        <w:tc>
          <w:tcPr>
            <w:tcW w:w="7642" w:type="dxa"/>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vAlign w:val="center"/>
          </w:tcPr>
          <w:p>
            <w:pPr>
              <w:spacing w:line="360" w:lineRule="auto"/>
              <w:jc w:val="center"/>
              <w:rPr>
                <w:rFonts w:ascii="宋体" w:hAnsi="宋体" w:cs="宋体"/>
                <w:bCs/>
              </w:rPr>
            </w:pPr>
            <w:r>
              <w:rPr>
                <w:rFonts w:hint="eastAsia" w:ascii="宋体" w:hAnsi="宋体" w:cs="宋体"/>
                <w:bCs/>
              </w:rPr>
              <w:t>托管人职责</w:t>
            </w:r>
          </w:p>
        </w:tc>
        <w:tc>
          <w:tcPr>
            <w:tcW w:w="7642" w:type="dxa"/>
            <w:vAlign w:val="center"/>
          </w:tcPr>
          <w:p>
            <w:pPr>
              <w:spacing w:line="360" w:lineRule="auto"/>
              <w:rPr>
                <w:rFonts w:ascii="宋体" w:hAnsi="宋体" w:cs="宋体"/>
                <w:bCs/>
              </w:rPr>
            </w:pPr>
            <w:r>
              <w:rPr>
                <w:rFonts w:hint="eastAsia" w:ascii="宋体" w:hAnsi="宋体" w:cs="宋体"/>
                <w:bCs/>
              </w:rPr>
              <w:t>主要提供包括账户开立、资金保管、资金结算、估值核对等理财产品托管服务。</w:t>
            </w:r>
          </w:p>
        </w:tc>
      </w:tr>
    </w:tbl>
    <w:p>
      <w:pPr>
        <w:numPr>
          <w:ilvl w:val="0"/>
          <w:numId w:val="17"/>
        </w:numPr>
        <w:spacing w:line="300" w:lineRule="auto"/>
        <w:ind w:firstLine="424" w:firstLineChars="202"/>
        <w:rPr>
          <w:rFonts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销售机构信息</w:t>
            </w:r>
          </w:p>
        </w:tc>
        <w:tc>
          <w:tcPr>
            <w:tcW w:w="1688" w:type="dxa"/>
            <w:vMerge w:val="restart"/>
            <w:vAlign w:val="center"/>
          </w:tcPr>
          <w:p>
            <w:pPr>
              <w:widowControl/>
              <w:jc w:val="center"/>
              <w:rPr>
                <w:rFonts w:ascii="宋体" w:hAnsi="宋体" w:cs="宋体"/>
                <w:color w:val="000000"/>
                <w:kern w:val="0"/>
                <w:lang w:bidi="ar"/>
              </w:rPr>
            </w:pPr>
            <w:r>
              <w:rPr>
                <w:rFonts w:hint="eastAsia" w:ascii="宋体" w:hAnsi="宋体" w:cs="宋体"/>
                <w:color w:val="000000"/>
                <w:kern w:val="0"/>
              </w:rPr>
              <w:t>杭州银行股份有限公司</w:t>
            </w:r>
          </w:p>
        </w:tc>
        <w:tc>
          <w:tcPr>
            <w:tcW w:w="1325" w:type="dxa"/>
            <w:vAlign w:val="center"/>
          </w:tcPr>
          <w:p>
            <w:pPr>
              <w:widowControl/>
              <w:jc w:val="center"/>
              <w:rPr>
                <w:rFonts w:ascii="宋体" w:hAnsi="宋体" w:cs="宋体"/>
                <w:color w:val="000000"/>
                <w:kern w:val="0"/>
                <w:lang w:bidi="ar"/>
              </w:rPr>
            </w:pPr>
            <w:r>
              <w:rPr>
                <w:rFonts w:hint="eastAsia" w:ascii="宋体" w:hAnsi="宋体" w:cs="宋体"/>
                <w:color w:val="000000"/>
                <w:kern w:val="0"/>
              </w:rPr>
              <w:t>住所</w:t>
            </w:r>
          </w:p>
        </w:tc>
        <w:tc>
          <w:tcPr>
            <w:tcW w:w="4625" w:type="dxa"/>
            <w:vAlign w:val="center"/>
          </w:tcPr>
          <w:p>
            <w:pPr>
              <w:widowControl/>
              <w:jc w:val="center"/>
              <w:rPr>
                <w:rFonts w:ascii="宋体" w:hAnsi="宋体" w:cs="宋体"/>
                <w:color w:val="000000"/>
                <w:kern w:val="0"/>
                <w:lang w:bidi="ar"/>
              </w:rPr>
            </w:pPr>
            <w:r>
              <w:rPr>
                <w:rFonts w:hint="eastAsia" w:ascii="宋体" w:hAnsi="宋体" w:cs="宋体"/>
                <w:color w:val="000000"/>
                <w:kern w:val="0"/>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widowControl/>
              <w:jc w:val="left"/>
              <w:rPr>
                <w:rFonts w:ascii="宋体" w:hAnsi="宋体" w:cs="宋体"/>
                <w:color w:val="000000"/>
                <w:kern w:val="0"/>
                <w:lang w:bidi="ar"/>
              </w:rPr>
            </w:pPr>
          </w:p>
        </w:tc>
        <w:tc>
          <w:tcPr>
            <w:tcW w:w="1325" w:type="dxa"/>
            <w:vAlign w:val="center"/>
          </w:tcPr>
          <w:p>
            <w:pPr>
              <w:widowControl/>
              <w:jc w:val="center"/>
              <w:rPr>
                <w:rFonts w:ascii="宋体" w:hAnsi="宋体" w:cs="宋体"/>
                <w:color w:val="000000"/>
                <w:kern w:val="0"/>
                <w:lang w:bidi="ar"/>
              </w:rPr>
            </w:pPr>
            <w:r>
              <w:rPr>
                <w:rFonts w:hint="eastAsia" w:ascii="宋体" w:hAnsi="宋体" w:cs="宋体"/>
                <w:color w:val="000000"/>
                <w:kern w:val="0"/>
              </w:rPr>
              <w:t>客服热线</w:t>
            </w:r>
          </w:p>
        </w:tc>
        <w:tc>
          <w:tcPr>
            <w:tcW w:w="4625" w:type="dxa"/>
            <w:vAlign w:val="center"/>
          </w:tcPr>
          <w:p>
            <w:pPr>
              <w:widowControl/>
              <w:jc w:val="center"/>
              <w:rPr>
                <w:rFonts w:ascii="宋体" w:hAnsi="宋体" w:cs="宋体"/>
                <w:color w:val="000000"/>
                <w:kern w:val="0"/>
                <w:lang w:bidi="ar"/>
              </w:rPr>
            </w:pPr>
            <w:r>
              <w:rPr>
                <w:rFonts w:hint="eastAsia" w:ascii="宋体" w:hAnsi="宋体" w:cs="宋体"/>
                <w:color w:val="000000"/>
                <w:kern w:val="0"/>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兴业银行股份有限公司</w:t>
            </w:r>
          </w:p>
        </w:tc>
        <w:tc>
          <w:tcPr>
            <w:tcW w:w="1325"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住所</w:t>
            </w:r>
          </w:p>
        </w:tc>
        <w:tc>
          <w:tcPr>
            <w:tcW w:w="4625"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客服热线</w:t>
            </w:r>
          </w:p>
        </w:tc>
        <w:tc>
          <w:tcPr>
            <w:tcW w:w="4625"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江苏银行股份有限公司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厦门银行股份有限公司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厦门国际银行股份有限公司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富邦华一银行有限公司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宁波鄞州农村商业银行股份有限公司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深圳前海微众银行股份有限公司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吉林亿联银行股份有限公司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重庆富民银行股份有限公司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中信百信银行股份有限公司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江苏苏宁银行股份有限公司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石嘴山银行股份有限公司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bottom"/>
              <w:rPr>
                <w:rFonts w:ascii="宋体" w:hAnsi="宋体" w:cs="宋体"/>
              </w:rPr>
            </w:pPr>
            <w:r>
              <w:rPr>
                <w:rFonts w:hint="eastAsia" w:ascii="宋体" w:hAnsi="宋体" w:cs="宋体"/>
                <w:color w:val="000000"/>
                <w:kern w:val="0"/>
                <w:lang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中信银行股份有限公司</w:t>
            </w: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center"/>
              <w:rPr>
                <w:rFonts w:ascii="宋体" w:hAnsi="宋体" w:cs="宋体"/>
              </w:rPr>
            </w:pPr>
            <w:r>
              <w:rPr>
                <w:rFonts w:hint="eastAsia" w:ascii="宋体" w:hAnsi="宋体" w:cs="宋体"/>
                <w:color w:val="000000"/>
                <w:kern w:val="0"/>
                <w:lang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center"/>
              <w:rPr>
                <w:rFonts w:ascii="宋体" w:hAnsi="宋体" w:cs="宋体"/>
              </w:rPr>
            </w:pPr>
            <w:r>
              <w:rPr>
                <w:rFonts w:hint="eastAsia" w:ascii="宋体" w:hAnsi="宋体" w:cs="宋体"/>
                <w:color w:val="000000"/>
                <w:kern w:val="0"/>
                <w:lang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齐鲁银行股份有限公司</w:t>
            </w: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住所</w:t>
            </w:r>
          </w:p>
        </w:tc>
        <w:tc>
          <w:tcPr>
            <w:tcW w:w="4625" w:type="dxa"/>
            <w:vAlign w:val="center"/>
          </w:tcPr>
          <w:p>
            <w:pPr>
              <w:widowControl/>
              <w:jc w:val="center"/>
              <w:textAlignment w:val="center"/>
              <w:rPr>
                <w:rFonts w:ascii="宋体" w:hAnsi="宋体" w:cs="宋体"/>
              </w:rPr>
            </w:pPr>
            <w:r>
              <w:rPr>
                <w:rFonts w:hint="eastAsia" w:ascii="宋体" w:hAnsi="宋体" w:cs="宋体"/>
                <w:color w:val="000000"/>
                <w:kern w:val="0"/>
                <w:lang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客服热线</w:t>
            </w:r>
          </w:p>
        </w:tc>
        <w:tc>
          <w:tcPr>
            <w:tcW w:w="4625" w:type="dxa"/>
            <w:vAlign w:val="center"/>
          </w:tcPr>
          <w:p>
            <w:pPr>
              <w:widowControl/>
              <w:jc w:val="center"/>
              <w:textAlignment w:val="center"/>
              <w:rPr>
                <w:rFonts w:ascii="宋体" w:hAnsi="宋体" w:cs="宋体"/>
              </w:rPr>
            </w:pPr>
            <w:r>
              <w:rPr>
                <w:rFonts w:hint="eastAsia" w:ascii="宋体" w:hAnsi="宋体" w:cs="宋体"/>
                <w:color w:val="000000"/>
                <w:kern w:val="0"/>
                <w:lang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ascii="宋体" w:hAnsi="宋体" w:cs="宋体"/>
                <w:color w:val="000000"/>
                <w:kern w:val="0"/>
              </w:rPr>
            </w:pPr>
            <w:r>
              <w:rPr>
                <w:rFonts w:hint="eastAsia" w:ascii="宋体" w:hAnsi="宋体" w:cs="宋体"/>
                <w:color w:val="000000"/>
                <w:kern w:val="0"/>
              </w:rPr>
              <w:t>销售机构职责</w:t>
            </w:r>
          </w:p>
        </w:tc>
        <w:tc>
          <w:tcPr>
            <w:tcW w:w="7638" w:type="dxa"/>
            <w:gridSpan w:val="3"/>
            <w:vAlign w:val="center"/>
          </w:tcPr>
          <w:p>
            <w:pPr>
              <w:widowControl/>
              <w:jc w:val="left"/>
              <w:textAlignment w:val="center"/>
              <w:rPr>
                <w:rFonts w:ascii="宋体" w:hAnsi="宋体" w:cs="宋体"/>
                <w:color w:val="000000"/>
                <w:kern w:val="0"/>
                <w:lang w:bidi="ar"/>
              </w:rPr>
            </w:pPr>
            <w:r>
              <w:rPr>
                <w:rFonts w:hint="eastAsia" w:ascii="宋体" w:hAnsi="宋体" w:cs="宋体"/>
                <w:color w:val="000000"/>
                <w:kern w:val="0"/>
              </w:rPr>
              <w:t>主要负责理财计划推广、投资者风险承受能力评估、投资者适当性管理、理财计划份额认购、申购及赎回办理。</w:t>
            </w:r>
            <w:r>
              <w:rPr>
                <w:rFonts w:hint="eastAsia" w:ascii="宋体" w:hAnsi="宋体" w:cs="宋体"/>
                <w:color w:val="000000"/>
                <w:kern w:val="0"/>
              </w:rPr>
              <w:br w:type="textWrapping"/>
            </w:r>
            <w:r>
              <w:rPr>
                <w:rFonts w:hint="eastAsia" w:ascii="宋体" w:hAnsi="宋体" w:cs="宋体"/>
                <w:color w:val="000000"/>
                <w:kern w:val="0"/>
              </w:rPr>
              <w:t>协助管理人负责与投资者签订理财计划合同、与投资者沟通及进行信息披露、接受投资者咨询和客户维护等销售服务。</w:t>
            </w:r>
          </w:p>
        </w:tc>
      </w:tr>
    </w:tbl>
    <w:p>
      <w:pPr>
        <w:numPr>
          <w:ilvl w:val="255"/>
          <w:numId w:val="0"/>
        </w:numPr>
        <w:spacing w:line="520" w:lineRule="exact"/>
        <w:rPr>
          <w:rFonts w:ascii="Cambria" w:hAnsi="Cambria" w:cs="宋体"/>
          <w:b/>
          <w:bCs/>
          <w:kern w:val="28"/>
          <w:sz w:val="28"/>
          <w:szCs w:val="28"/>
        </w:rPr>
      </w:pPr>
      <w:r>
        <w:rPr>
          <w:rFonts w:hint="eastAsia" w:ascii="Cambria" w:hAnsi="Cambria" w:cs="宋体"/>
          <w:b/>
          <w:bCs/>
          <w:kern w:val="28"/>
          <w:sz w:val="28"/>
          <w:szCs w:val="28"/>
        </w:rPr>
        <w:t>十二、其他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理财计划合同的订立、生效、履行、解释、修改和终止等事项的适用法律和争议解决方式按照《杭银理财理财计划投资协议书》、《杭银理财理财计划销售协议书》的相关约定执行。</w:t>
      </w:r>
    </w:p>
    <w:p>
      <w:pPr>
        <w:spacing w:line="360" w:lineRule="auto"/>
        <w:jc w:val="center"/>
        <w:rPr>
          <w:rFonts w:ascii="宋体" w:hAnsi="宋体"/>
          <w:b/>
          <w:bCs/>
          <w:color w:val="000000"/>
          <w:sz w:val="32"/>
          <w:szCs w:val="32"/>
        </w:rPr>
      </w:pPr>
      <w:r>
        <w:rPr>
          <w:rFonts w:hint="eastAsia" w:ascii="宋体" w:hAnsi="Wingdings" w:cs="宋体"/>
          <w:color w:val="000000"/>
          <w:kern w:val="0"/>
        </w:rPr>
        <w:br w:type="page"/>
      </w: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8"/>
        </w:numPr>
        <w:spacing w:line="360" w:lineRule="auto"/>
        <w:rPr>
          <w:rFonts w:ascii="宋体" w:hAnsi="宋体"/>
          <w:b/>
          <w:bCs/>
          <w:kern w:val="0"/>
        </w:rPr>
      </w:pPr>
      <w:r>
        <w:rPr>
          <w:rFonts w:hint="eastAsia" w:ascii="宋体" w:hAnsi="宋体"/>
          <w:b/>
          <w:bCs/>
          <w:kern w:val="0"/>
        </w:rPr>
        <w:t>理财计划办理流程</w:t>
      </w:r>
    </w:p>
    <w:p>
      <w:pPr>
        <w:numPr>
          <w:ilvl w:val="0"/>
          <w:numId w:val="19"/>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9"/>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9"/>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9"/>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9"/>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20"/>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1"/>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2"/>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2"/>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2"/>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3"/>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3"/>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3"/>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3"/>
        </w:numPr>
        <w:spacing w:line="360" w:lineRule="auto"/>
        <w:rPr>
          <w:rFonts w:ascii="宋体" w:hAnsi="宋体"/>
          <w:kern w:val="0"/>
        </w:rPr>
      </w:pPr>
      <w:r>
        <w:rPr>
          <w:rFonts w:hint="eastAsia" w:ascii="宋体" w:hAnsi="宋体"/>
          <w:kern w:val="0"/>
        </w:rPr>
        <w:t>投资者对评估结果进行确认。</w:t>
      </w:r>
    </w:p>
    <w:p>
      <w:pPr>
        <w:numPr>
          <w:ilvl w:val="0"/>
          <w:numId w:val="24"/>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4"/>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4"/>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5"/>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5"/>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26"/>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6"/>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spacing w:line="520" w:lineRule="exact"/>
        <w:ind w:firstLine="0" w:firstLineChars="0"/>
        <w:rPr>
          <w:rFonts w:hint="eastAsia" w:ascii="宋体" w:hAnsi="Wingdings" w:cs="宋体"/>
          <w:color w:val="000000"/>
          <w:kern w:val="0"/>
        </w:rPr>
      </w:pPr>
      <w:r>
        <w:rPr>
          <w:rFonts w:hint="eastAsia" w:ascii="宋体" w:hAnsi="宋体"/>
          <w:kern w:val="0"/>
        </w:rPr>
        <w:t>若上述联系方式变更，杭银理财将提前通过原官方网站及时告知投资者</w:t>
      </w:r>
    </w:p>
    <w:p>
      <w:pPr>
        <w:jc w:val="center"/>
        <w:rPr>
          <w:rFonts w:ascii="宋体" w:hAnsi="宋体"/>
          <w:b/>
          <w:bCs/>
          <w:sz w:val="32"/>
          <w:szCs w:val="32"/>
        </w:rPr>
      </w:pPr>
      <w:bookmarkStart w:id="3" w:name="_GoBack"/>
      <w:bookmarkEnd w:id="3"/>
      <w:r>
        <w:rPr>
          <w:rFonts w:hint="eastAsia" w:ascii="宋体" w:hAnsi="Wingdings" w:cs="宋体"/>
          <w:color w:val="000000"/>
          <w:kern w:val="0"/>
        </w:rPr>
        <w:br w:type="page"/>
      </w: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销售协议书、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7"/>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7"/>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8"/>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8"/>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8"/>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8"/>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8"/>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8"/>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8"/>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8"/>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8"/>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7"/>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9"/>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9"/>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9"/>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9"/>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9"/>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9"/>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9"/>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9"/>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9"/>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7"/>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30"/>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30"/>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30"/>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30"/>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30"/>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30"/>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7"/>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7"/>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31"/>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1"/>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1"/>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1"/>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1"/>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31"/>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7"/>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7"/>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2"/>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2"/>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2"/>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2"/>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7"/>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3"/>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3"/>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3"/>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rPr>
        <w:t>（202101版）</w:t>
      </w:r>
    </w:p>
    <w:p>
      <w:pPr>
        <w:autoSpaceDE w:val="0"/>
        <w:spacing w:line="360" w:lineRule="auto"/>
        <w:jc w:val="center"/>
      </w:pPr>
    </w:p>
    <w:p>
      <w:pPr>
        <w:autoSpaceDE w:val="0"/>
        <w:spacing w:line="360" w:lineRule="auto"/>
        <w:ind w:firstLine="422" w:firstLineChars="200"/>
        <w:rPr>
          <w:rFonts w:ascii="宋体" w:hAnsi="宋体"/>
          <w:b/>
        </w:rPr>
      </w:pPr>
      <w:r>
        <w:rPr>
          <w:rFonts w:hint="eastAsia" w:ascii="宋体" w:hAnsi="宋体"/>
          <w:b/>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rPr>
      </w:pPr>
      <w:r>
        <w:rPr>
          <w:rFonts w:hint="eastAsia" w:ascii="宋体" w:hAnsi="宋体"/>
          <w:b/>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rPr>
      </w:pPr>
      <w:r>
        <w:rPr>
          <w:rFonts w:hint="eastAsia" w:ascii="宋体" w:hAnsi="宋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rPr>
      </w:pPr>
      <w:r>
        <w:rPr>
          <w:rFonts w:hint="eastAsia" w:ascii="宋体" w:hAnsi="宋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rPr>
      </w:pPr>
    </w:p>
    <w:p>
      <w:pPr>
        <w:widowControl/>
        <w:numPr>
          <w:ilvl w:val="0"/>
          <w:numId w:val="34"/>
        </w:numPr>
        <w:autoSpaceDE w:val="0"/>
        <w:spacing w:line="360" w:lineRule="auto"/>
        <w:ind w:firstLine="422" w:firstLineChars="200"/>
        <w:rPr>
          <w:rFonts w:ascii="宋体" w:hAnsi="宋体"/>
          <w:b/>
        </w:rPr>
      </w:pPr>
      <w:r>
        <w:rPr>
          <w:rFonts w:hint="eastAsia" w:ascii="宋体" w:hAnsi="宋体"/>
          <w:b/>
        </w:rPr>
        <w:t>名词释义</w:t>
      </w:r>
    </w:p>
    <w:p>
      <w:pPr>
        <w:widowControl/>
        <w:autoSpaceDE w:val="0"/>
        <w:spacing w:line="360" w:lineRule="auto"/>
        <w:ind w:firstLine="420" w:firstLineChars="200"/>
        <w:jc w:val="left"/>
        <w:rPr>
          <w:rFonts w:ascii="宋体" w:hAnsi="宋体"/>
        </w:rPr>
      </w:pPr>
      <w:r>
        <w:rPr>
          <w:rFonts w:hint="eastAsia" w:ascii="宋体" w:hAnsi="宋体"/>
        </w:rPr>
        <w:t>详见对应期次的理财计划产品说明书“释义”部分。</w:t>
      </w:r>
    </w:p>
    <w:p>
      <w:pPr>
        <w:widowControl/>
        <w:autoSpaceDE w:val="0"/>
        <w:spacing w:line="360" w:lineRule="auto"/>
        <w:ind w:firstLine="420" w:firstLineChars="200"/>
        <w:jc w:val="left"/>
        <w:rPr>
          <w:rFonts w:ascii="宋体" w:hAnsi="宋体"/>
        </w:rPr>
      </w:pPr>
    </w:p>
    <w:p>
      <w:pPr>
        <w:widowControl/>
        <w:numPr>
          <w:ilvl w:val="0"/>
          <w:numId w:val="34"/>
        </w:numPr>
        <w:autoSpaceDE w:val="0"/>
        <w:spacing w:line="360" w:lineRule="auto"/>
        <w:ind w:firstLine="422" w:firstLineChars="200"/>
        <w:rPr>
          <w:rFonts w:ascii="宋体" w:hAnsi="宋体"/>
          <w:b/>
        </w:rPr>
      </w:pPr>
      <w:r>
        <w:rPr>
          <w:rFonts w:hint="eastAsia" w:ascii="宋体" w:hAnsi="宋体"/>
          <w:b/>
        </w:rPr>
        <w:t>投资者权利与义务</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5"/>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4"/>
        </w:numPr>
        <w:autoSpaceDE w:val="0"/>
        <w:spacing w:line="360" w:lineRule="auto"/>
        <w:ind w:firstLine="422" w:firstLineChars="200"/>
        <w:rPr>
          <w:rFonts w:ascii="宋体" w:hAnsi="宋体"/>
          <w:b/>
        </w:rPr>
      </w:pPr>
      <w:r>
        <w:rPr>
          <w:rFonts w:hint="eastAsia" w:ascii="宋体" w:hAnsi="宋体"/>
          <w:b/>
        </w:rPr>
        <w:t>代理销售机构的权利与义务</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4"/>
        </w:numPr>
        <w:autoSpaceDE w:val="0"/>
        <w:spacing w:line="360" w:lineRule="auto"/>
        <w:ind w:firstLine="422" w:firstLineChars="200"/>
        <w:rPr>
          <w:rFonts w:ascii="宋体" w:hAnsi="宋体"/>
          <w:b/>
        </w:rPr>
      </w:pPr>
      <w:r>
        <w:rPr>
          <w:rFonts w:hint="eastAsia" w:ascii="宋体" w:hAnsi="宋体"/>
          <w:b/>
        </w:rPr>
        <w:t>理财计划认（申）购、赎回及终止</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4"/>
        </w:numPr>
        <w:autoSpaceDE w:val="0"/>
        <w:spacing w:line="360" w:lineRule="auto"/>
        <w:ind w:firstLine="422" w:firstLineChars="200"/>
        <w:rPr>
          <w:rFonts w:ascii="宋体" w:hAnsi="宋体"/>
          <w:b/>
        </w:rPr>
      </w:pPr>
      <w:r>
        <w:rPr>
          <w:rFonts w:hint="eastAsia" w:ascii="宋体" w:hAnsi="宋体"/>
          <w:b/>
        </w:rPr>
        <w:t>违约责任及免责条款</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4"/>
        </w:numPr>
        <w:autoSpaceDE w:val="0"/>
        <w:spacing w:line="360" w:lineRule="auto"/>
        <w:ind w:firstLine="422" w:firstLineChars="200"/>
        <w:rPr>
          <w:rFonts w:ascii="宋体" w:hAnsi="宋体"/>
          <w:b/>
        </w:rPr>
      </w:pPr>
      <w:r>
        <w:rPr>
          <w:rFonts w:hint="eastAsia" w:ascii="宋体" w:hAnsi="宋体"/>
          <w:b/>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4"/>
        </w:numPr>
        <w:autoSpaceDE w:val="0"/>
        <w:spacing w:line="360" w:lineRule="auto"/>
        <w:ind w:firstLine="422" w:firstLineChars="200"/>
        <w:rPr>
          <w:rFonts w:ascii="宋体" w:hAnsi="宋体"/>
          <w:b/>
        </w:rPr>
      </w:pPr>
      <w:r>
        <w:rPr>
          <w:rFonts w:hint="eastAsia" w:ascii="宋体" w:hAnsi="宋体"/>
          <w:b/>
        </w:rPr>
        <w:t>协议生效和终止</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4"/>
        </w:numPr>
        <w:autoSpaceDE w:val="0"/>
        <w:spacing w:line="360" w:lineRule="auto"/>
        <w:ind w:firstLine="422" w:firstLineChars="200"/>
        <w:rPr>
          <w:rFonts w:ascii="宋体" w:hAnsi="宋体"/>
          <w:b/>
        </w:rPr>
      </w:pPr>
      <w:r>
        <w:rPr>
          <w:rFonts w:hint="eastAsia" w:ascii="宋体" w:hAnsi="宋体"/>
          <w:b/>
        </w:rPr>
        <w:t xml:space="preserve">附则 </w:t>
      </w:r>
    </w:p>
    <w:p>
      <w:pPr>
        <w:pStyle w:val="10"/>
        <w:widowControl/>
        <w:numPr>
          <w:ilvl w:val="0"/>
          <w:numId w:val="40"/>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40"/>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40"/>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rPr>
      </w:pPr>
      <w:r>
        <w:rPr>
          <w:rFonts w:hint="eastAsia" w:ascii="宋体" w:hAnsi="宋体" w:cs="宋体"/>
          <w:kern w:val="0"/>
        </w:rPr>
        <w:t>杭银理财有限责任公司</w:t>
      </w:r>
    </w:p>
    <w:p>
      <w:pPr>
        <w:spacing w:line="360" w:lineRule="auto"/>
        <w:rPr>
          <w:rFonts w:ascii="宋体" w:hAnsi="宋体"/>
        </w:rPr>
      </w:pPr>
      <w:r>
        <w:rPr>
          <w:rFonts w:hint="eastAsia" w:ascii="宋体" w:hAnsi="宋体" w:cs="Times New Roman"/>
          <w:color w:val="000000"/>
        </w:rPr>
        <w:br w:type="page"/>
      </w:r>
      <w:r>
        <w:rPr>
          <w:rFonts w:hint="eastAsia" w:ascii="宋体" w:hAnsi="宋体"/>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b/>
        </w:rPr>
      </w:pPr>
      <w:r>
        <w:rPr>
          <w:rFonts w:hint="eastAsia" w:ascii="宋体" w:hAnsi="宋体"/>
          <w:b/>
        </w:rPr>
        <w:t>投资者（签字）：</w:t>
      </w:r>
    </w:p>
    <w:p>
      <w:pPr>
        <w:spacing w:before="156" w:beforeLines="50" w:after="156" w:afterLines="50" w:line="360" w:lineRule="auto"/>
        <w:ind w:firstLine="4200" w:firstLineChars="2000"/>
        <w:jc w:val="right"/>
        <w:rPr>
          <w:rFonts w:ascii="Arial" w:hAnsi="Arial" w:cs="Times New Roman"/>
        </w:rPr>
      </w:pPr>
      <w:r>
        <w:rPr>
          <w:rFonts w:hint="eastAsia" w:ascii="Arial" w:hAnsi="Arial" w:cs="宋体"/>
        </w:rPr>
        <w:t>年    月   日</w:t>
      </w: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r>
        <w:rPr>
          <w:rFonts w:hint="eastAsia" w:ascii="宋体" w:hAnsi="宋体"/>
          <w:b/>
        </w:rPr>
        <w:t>代理销售机构签章：</w:t>
      </w:r>
    </w:p>
    <w:p>
      <w:pPr>
        <w:spacing w:line="360" w:lineRule="auto"/>
        <w:rPr>
          <w:rFonts w:ascii="宋体" w:hAnsi="宋体"/>
          <w:b/>
        </w:rPr>
      </w:pPr>
    </w:p>
    <w:p>
      <w:pPr>
        <w:spacing w:line="360" w:lineRule="auto"/>
        <w:rPr>
          <w:rFonts w:ascii="宋体" w:hAnsi="宋体"/>
          <w:b/>
        </w:rPr>
      </w:pPr>
    </w:p>
    <w:p>
      <w:pPr>
        <w:spacing w:line="520" w:lineRule="exact"/>
        <w:ind w:firstLine="424" w:firstLineChars="202"/>
        <w:rPr>
          <w:rFonts w:hint="eastAsia" w:ascii="宋体" w:hAnsi="Wingdings" w:cs="宋体"/>
          <w:color w:val="000000"/>
          <w:kern w:val="0"/>
        </w:rPr>
      </w:pPr>
      <w:r>
        <w:rPr>
          <w:rFonts w:hint="eastAsia" w:ascii="Arial" w:hAnsi="Arial" w:cs="宋体"/>
        </w:rPr>
        <w:t>年    月   日</w:t>
      </w: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3073"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2">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1E39BB33"/>
    <w:multiLevelType w:val="singleLevel"/>
    <w:tmpl w:val="1E39BB33"/>
    <w:lvl w:ilvl="0" w:tentative="0">
      <w:start w:val="2"/>
      <w:numFmt w:val="decimal"/>
      <w:suff w:val="space"/>
      <w:lvlText w:val="%1."/>
      <w:lvlJc w:val="left"/>
    </w:lvl>
  </w:abstractNum>
  <w:abstractNum w:abstractNumId="1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6">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1">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5404F3FF"/>
    <w:multiLevelType w:val="singleLevel"/>
    <w:tmpl w:val="5404F3FF"/>
    <w:lvl w:ilvl="0" w:tentative="0">
      <w:start w:val="1"/>
      <w:numFmt w:val="chineseCounting"/>
      <w:suff w:val="nothing"/>
      <w:lvlText w:val="（%1）"/>
      <w:lvlJc w:val="left"/>
      <w:rPr>
        <w:rFonts w:hint="eastAsia"/>
      </w:rPr>
    </w:lvl>
  </w:abstractNum>
  <w:abstractNum w:abstractNumId="28">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0">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5B87B9D3"/>
    <w:multiLevelType w:val="singleLevel"/>
    <w:tmpl w:val="5B87B9D3"/>
    <w:lvl w:ilvl="0" w:tentative="0">
      <w:start w:val="4"/>
      <w:numFmt w:val="chineseCounting"/>
      <w:suff w:val="nothing"/>
      <w:lvlText w:val="（%1）"/>
      <w:lvlJc w:val="left"/>
    </w:lvl>
  </w:abstractNum>
  <w:abstractNum w:abstractNumId="32">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6A34D7DB"/>
    <w:multiLevelType w:val="singleLevel"/>
    <w:tmpl w:val="6A34D7DB"/>
    <w:lvl w:ilvl="0" w:tentative="0">
      <w:start w:val="1"/>
      <w:numFmt w:val="decimal"/>
      <w:lvlText w:val="%1."/>
      <w:lvlJc w:val="left"/>
      <w:pPr>
        <w:tabs>
          <w:tab w:val="left" w:pos="312"/>
        </w:tabs>
      </w:pPr>
    </w:lvl>
  </w:abstractNum>
  <w:abstractNum w:abstractNumId="34">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9">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5"/>
  </w:num>
  <w:num w:numId="2">
    <w:abstractNumId w:val="33"/>
  </w:num>
  <w:num w:numId="3">
    <w:abstractNumId w:val="31"/>
  </w:num>
  <w:num w:numId="4">
    <w:abstractNumId w:val="14"/>
  </w:num>
  <w:num w:numId="5">
    <w:abstractNumId w:val="24"/>
  </w:num>
  <w:num w:numId="6">
    <w:abstractNumId w:val="0"/>
  </w:num>
  <w:num w:numId="7">
    <w:abstractNumId w:val="6"/>
  </w:num>
  <w:num w:numId="8">
    <w:abstractNumId w:val="19"/>
  </w:num>
  <w:num w:numId="9">
    <w:abstractNumId w:val="8"/>
  </w:num>
  <w:num w:numId="10">
    <w:abstractNumId w:val="18"/>
  </w:num>
  <w:num w:numId="11">
    <w:abstractNumId w:val="20"/>
  </w:num>
  <w:num w:numId="12">
    <w:abstractNumId w:val="38"/>
  </w:num>
  <w:num w:numId="13">
    <w:abstractNumId w:val="11"/>
  </w:num>
  <w:num w:numId="14">
    <w:abstractNumId w:val="28"/>
  </w:num>
  <w:num w:numId="15">
    <w:abstractNumId w:val="29"/>
  </w:num>
  <w:num w:numId="16">
    <w:abstractNumId w:val="15"/>
  </w:num>
  <w:num w:numId="17">
    <w:abstractNumId w:val="2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 w:numId="36">
    <w:abstractNumId w:val="1"/>
  </w:num>
  <w:num w:numId="37">
    <w:abstractNumId w:val="26"/>
  </w:num>
  <w:num w:numId="38">
    <w:abstractNumId w:val="3"/>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481E"/>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2F69"/>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72531"/>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C57AC3"/>
    <w:rsid w:val="02CA2F87"/>
    <w:rsid w:val="038269B5"/>
    <w:rsid w:val="04CD156A"/>
    <w:rsid w:val="05323B4A"/>
    <w:rsid w:val="064B0E6C"/>
    <w:rsid w:val="06E36B07"/>
    <w:rsid w:val="09103769"/>
    <w:rsid w:val="09A561EF"/>
    <w:rsid w:val="09AC6127"/>
    <w:rsid w:val="0F0043BB"/>
    <w:rsid w:val="1241381F"/>
    <w:rsid w:val="13842138"/>
    <w:rsid w:val="14181DC5"/>
    <w:rsid w:val="155D0FAE"/>
    <w:rsid w:val="15605C7E"/>
    <w:rsid w:val="17D75757"/>
    <w:rsid w:val="1803172C"/>
    <w:rsid w:val="18115D76"/>
    <w:rsid w:val="194950A1"/>
    <w:rsid w:val="1B4B2D82"/>
    <w:rsid w:val="1B8B2D6E"/>
    <w:rsid w:val="1C06387C"/>
    <w:rsid w:val="1D4B4659"/>
    <w:rsid w:val="1DA941EB"/>
    <w:rsid w:val="21556519"/>
    <w:rsid w:val="21AE43C0"/>
    <w:rsid w:val="24B6088C"/>
    <w:rsid w:val="25446C03"/>
    <w:rsid w:val="27260C26"/>
    <w:rsid w:val="27660D0E"/>
    <w:rsid w:val="28FB441D"/>
    <w:rsid w:val="29397963"/>
    <w:rsid w:val="29E37A3B"/>
    <w:rsid w:val="29F0754D"/>
    <w:rsid w:val="2CCF7E88"/>
    <w:rsid w:val="2CF11704"/>
    <w:rsid w:val="2D400CA8"/>
    <w:rsid w:val="2D45719C"/>
    <w:rsid w:val="2DEC75F3"/>
    <w:rsid w:val="2E0B2CD2"/>
    <w:rsid w:val="30E90FE8"/>
    <w:rsid w:val="31613427"/>
    <w:rsid w:val="31C902E2"/>
    <w:rsid w:val="32C55323"/>
    <w:rsid w:val="33994134"/>
    <w:rsid w:val="34FE2ED5"/>
    <w:rsid w:val="355620DF"/>
    <w:rsid w:val="35892A55"/>
    <w:rsid w:val="35AD2E8C"/>
    <w:rsid w:val="3AEA3336"/>
    <w:rsid w:val="3BA24BB0"/>
    <w:rsid w:val="3C6513F4"/>
    <w:rsid w:val="3CEE1BB4"/>
    <w:rsid w:val="3FCB3B1C"/>
    <w:rsid w:val="3FFC0B92"/>
    <w:rsid w:val="42095E66"/>
    <w:rsid w:val="433D1B9E"/>
    <w:rsid w:val="43910FDF"/>
    <w:rsid w:val="45111D82"/>
    <w:rsid w:val="481B099C"/>
    <w:rsid w:val="4ACA4F6B"/>
    <w:rsid w:val="4D6E1BF8"/>
    <w:rsid w:val="50DD7DA0"/>
    <w:rsid w:val="510826B2"/>
    <w:rsid w:val="511A5D92"/>
    <w:rsid w:val="52EC289B"/>
    <w:rsid w:val="582B1D81"/>
    <w:rsid w:val="5A6F4BA4"/>
    <w:rsid w:val="5A726ACA"/>
    <w:rsid w:val="5BE91D19"/>
    <w:rsid w:val="5C04262D"/>
    <w:rsid w:val="5C646810"/>
    <w:rsid w:val="5CEF711D"/>
    <w:rsid w:val="5E7332FD"/>
    <w:rsid w:val="60056EC4"/>
    <w:rsid w:val="62C16DB1"/>
    <w:rsid w:val="64016D27"/>
    <w:rsid w:val="641D1425"/>
    <w:rsid w:val="641E5B9B"/>
    <w:rsid w:val="64EA430A"/>
    <w:rsid w:val="64FA2D6C"/>
    <w:rsid w:val="662C6033"/>
    <w:rsid w:val="665B0656"/>
    <w:rsid w:val="687C4CDA"/>
    <w:rsid w:val="689A03C5"/>
    <w:rsid w:val="69150AA8"/>
    <w:rsid w:val="69F2084C"/>
    <w:rsid w:val="6B191214"/>
    <w:rsid w:val="6B503609"/>
    <w:rsid w:val="6BB97DF1"/>
    <w:rsid w:val="6BE12EF7"/>
    <w:rsid w:val="6C361A89"/>
    <w:rsid w:val="6C6A476A"/>
    <w:rsid w:val="6CFB1020"/>
    <w:rsid w:val="6E05628E"/>
    <w:rsid w:val="6E2F7ED0"/>
    <w:rsid w:val="6F753A43"/>
    <w:rsid w:val="73674B3B"/>
    <w:rsid w:val="73E23960"/>
    <w:rsid w:val="73FF7F43"/>
    <w:rsid w:val="74317E8C"/>
    <w:rsid w:val="774A6ECC"/>
    <w:rsid w:val="78E860BE"/>
    <w:rsid w:val="7B69328D"/>
    <w:rsid w:val="7BC772EF"/>
    <w:rsid w:val="7BF64F08"/>
    <w:rsid w:val="7C055543"/>
    <w:rsid w:val="7C1927D1"/>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字符"/>
    <w:link w:val="4"/>
    <w:semiHidden/>
    <w:qFormat/>
    <w:locked/>
    <w:uiPriority w:val="99"/>
    <w:rPr>
      <w:rFonts w:ascii="Calibri" w:hAnsi="Calibri" w:eastAsia="宋体" w:cs="Calibri"/>
      <w:sz w:val="21"/>
      <w:szCs w:val="21"/>
    </w:rPr>
  </w:style>
  <w:style w:type="character" w:customStyle="1" w:styleId="20">
    <w:name w:val="批注主题 字符"/>
    <w:link w:val="12"/>
    <w:semiHidden/>
    <w:qFormat/>
    <w:locked/>
    <w:uiPriority w:val="99"/>
    <w:rPr>
      <w:rFonts w:ascii="Calibri" w:hAnsi="Calibri" w:eastAsia="宋体" w:cs="Calibri"/>
      <w:b/>
      <w:bCs/>
      <w:sz w:val="21"/>
      <w:szCs w:val="21"/>
    </w:rPr>
  </w:style>
  <w:style w:type="character" w:customStyle="1" w:styleId="21">
    <w:name w:val="标题 字符"/>
    <w:link w:val="11"/>
    <w:qFormat/>
    <w:locked/>
    <w:uiPriority w:val="99"/>
    <w:rPr>
      <w:rFonts w:ascii="Cambria" w:hAnsi="Cambria" w:eastAsia="宋体" w:cs="Cambria"/>
      <w:b/>
      <w:bCs/>
      <w:sz w:val="32"/>
      <w:szCs w:val="32"/>
    </w:rPr>
  </w:style>
  <w:style w:type="character" w:customStyle="1" w:styleId="22">
    <w:name w:val="副标题 字符"/>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字符"/>
    <w:link w:val="2"/>
    <w:qFormat/>
    <w:locked/>
    <w:uiPriority w:val="99"/>
    <w:rPr>
      <w:rFonts w:ascii="Calibri" w:hAnsi="Calibri" w:eastAsia="宋体" w:cs="Calibri"/>
      <w:b/>
      <w:bCs/>
      <w:kern w:val="44"/>
      <w:sz w:val="44"/>
      <w:szCs w:val="44"/>
    </w:rPr>
  </w:style>
  <w:style w:type="character" w:customStyle="1" w:styleId="25">
    <w:name w:val="页脚 字符"/>
    <w:link w:val="6"/>
    <w:semiHidden/>
    <w:qFormat/>
    <w:locked/>
    <w:uiPriority w:val="99"/>
    <w:rPr>
      <w:rFonts w:ascii="Calibri" w:hAnsi="Calibri" w:eastAsia="宋体" w:cs="Calibri"/>
      <w:sz w:val="18"/>
      <w:szCs w:val="18"/>
    </w:rPr>
  </w:style>
  <w:style w:type="character" w:customStyle="1" w:styleId="26">
    <w:name w:val="页眉 字符"/>
    <w:link w:val="7"/>
    <w:semiHidden/>
    <w:qFormat/>
    <w:locked/>
    <w:uiPriority w:val="99"/>
    <w:rPr>
      <w:rFonts w:ascii="Calibri" w:hAnsi="Calibri" w:eastAsia="宋体" w:cs="Calibri"/>
      <w:sz w:val="18"/>
      <w:szCs w:val="18"/>
    </w:rPr>
  </w:style>
  <w:style w:type="character" w:customStyle="1" w:styleId="27">
    <w:name w:val="文档结构图 字符"/>
    <w:link w:val="3"/>
    <w:semiHidden/>
    <w:qFormat/>
    <w:locked/>
    <w:uiPriority w:val="99"/>
    <w:rPr>
      <w:rFonts w:ascii="宋体" w:hAnsi="Calibri" w:eastAsia="宋体" w:cs="宋体"/>
      <w:sz w:val="18"/>
      <w:szCs w:val="18"/>
    </w:rPr>
  </w:style>
  <w:style w:type="character" w:customStyle="1" w:styleId="28">
    <w:name w:val="批注框文本 字符"/>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字符"/>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 w:type="paragraph" w:customStyle="1" w:styleId="36">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Template>
  <Company>Microsoft</Company>
  <Pages>38</Pages>
  <Words>28812</Words>
  <Characters>29902</Characters>
  <Lines>219</Lines>
  <Paragraphs>61</Paragraphs>
  <TotalTime>0</TotalTime>
  <ScaleCrop>false</ScaleCrop>
  <LinksUpToDate>false</LinksUpToDate>
  <CharactersWithSpaces>30179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2022-06-07T01:44:29Z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4929498A18BA42EBBF59C189D6CCE509</vt:lpwstr>
  </property>
</Properties>
</file>