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color w:val="333333"/>
          <w:shd w:val="clear" w:color="auto"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添益2018期理财计划产品说明书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Z700222100018</w:t>
      </w:r>
      <w:r>
        <w:rPr>
          <w:rFonts w:hint="eastAsia" w:ascii="宋体" w:hAnsi="Wingdings" w:cs="宋体"/>
          <w:color w:val="000000"/>
          <w:kern w:val="0"/>
        </w:rPr>
        <w:t>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杭银理财幸福99半年添益2018期理财计划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半年添益2018期理财计划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该产品在全国银行业理财信息登记系统的原登记编码是C1092020000625，</w:t>
            </w:r>
            <w:r>
              <w:rPr>
                <w:rFonts w:hint="eastAsia" w:ascii="宋体" w:hAnsi="宋体" w:cs="宋体"/>
              </w:rPr>
              <w:t>变更登记后为〖</w:t>
            </w:r>
            <w:r>
              <w:rPr>
                <w:rFonts w:ascii="宋体" w:hAnsi="宋体" w:cs="宋体"/>
              </w:rPr>
              <w:t>Z70022210001</w:t>
            </w:r>
            <w:r>
              <w:rPr>
                <w:rFonts w:hint="eastAsia" w:ascii="宋体" w:hAnsi="宋体" w:cs="宋体"/>
              </w:rPr>
              <w:t>83〗。</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2020年6月3日至2020年6月9日。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首次开放期为2020年12月2日至2020年12月8日，首个确认日为2020年12月9日。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+2.35%。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宋体" w:hAnsi="宋体" w:cs="宋体"/>
                <w:color w:val="333333"/>
                <w:shd w:val="clear" w:color="auto"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确认日前一日的单位净值。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赎回份额×确认日前一日的单位净值。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1．销售服务费。收取年化0.2</w:t>
            </w:r>
            <w:r>
              <w:rPr>
                <w:rFonts w:ascii="宋体" w:hAnsi="宋体" w:cs="宋体"/>
                <w:color w:val="000000"/>
                <w:kern w:val="0"/>
              </w:rPr>
              <w:t>%</w:t>
            </w:r>
            <w:r>
              <w:rPr>
                <w:rFonts w:hint="eastAsia" w:ascii="宋体" w:hAnsi="宋体" w:cs="宋体"/>
                <w:color w:val="000000"/>
                <w:kern w:val="0"/>
              </w:rPr>
              <w:t>的销售服务费，每日计提。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理财计划财产的年化销售服务费率为0.2%，计算方法如下：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H＝E*0.2％/365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销售服务费原则上按日计提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理财计划财产的年化固定管理费率为0.4%，计算方法如下：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H＝E*0.4％/365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H为每日应计提的固定管理费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w:t>
      </w:r>
      <w:r>
        <w:rPr>
          <w:rFonts w:hint="eastAsia" w:ascii="宋体" w:hAnsi="宋体"/>
          <w:color w:val="000000"/>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示例一：扣除托管费、固定管理费和销售服务费后，投资收益率超越业绩比较基准上限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销售服务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示例二：扣除托管费、固定管理费和销售服务费后，投资收益率未达到业绩比较基准上限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示例三：扣除托管费、固定管理费和销售服务费后，投资发生亏损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255"/>
          <w:numId w:val="0"/>
        </w:numPr>
        <w:spacing w:before="0" w:after="0" w:line="520" w:lineRule="exact"/>
        <w:jc w:val="both"/>
        <w:rPr>
          <w:rFonts w:cs="宋体"/>
          <w:sz w:val="28"/>
          <w:szCs w:val="28"/>
        </w:rPr>
      </w:pPr>
      <w:r>
        <w:rPr>
          <w:rFonts w:hint="eastAsia" w:cs="宋体"/>
          <w:sz w:val="28"/>
          <w:szCs w:val="28"/>
        </w:rPr>
        <w:t>十一、合作机构</w:t>
      </w:r>
    </w:p>
    <w:p>
      <w:pPr>
        <w:numPr>
          <w:ilvl w:val="0"/>
          <w:numId w:val="16"/>
        </w:numPr>
        <w:spacing w:line="300" w:lineRule="auto"/>
        <w:ind w:firstLine="424" w:firstLineChars="202"/>
        <w:rPr>
          <w:rFonts w:ascii="宋体" w:hAnsi="宋体" w:cs="宋体"/>
          <w:color w:val="000000"/>
          <w:kern w:val="0"/>
        </w:rPr>
      </w:pPr>
      <w:r>
        <w:rPr>
          <w:rFonts w:hint="eastAsia" w:ascii="宋体" w:hAnsi="宋体" w:cs="宋体"/>
          <w:color w:val="000000"/>
          <w:kern w:val="0"/>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托管人名称</w:t>
            </w:r>
          </w:p>
        </w:tc>
        <w:tc>
          <w:tcPr>
            <w:tcW w:w="7617" w:type="dxa"/>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托管人住所</w:t>
            </w:r>
          </w:p>
        </w:tc>
        <w:tc>
          <w:tcPr>
            <w:tcW w:w="7617" w:type="dxa"/>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托管人职责</w:t>
            </w:r>
          </w:p>
        </w:tc>
        <w:tc>
          <w:tcPr>
            <w:tcW w:w="7617" w:type="dxa"/>
            <w:vAlign w:val="center"/>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销售机构信息</w:t>
            </w:r>
          </w:p>
        </w:tc>
        <w:tc>
          <w:tcPr>
            <w:tcW w:w="1688" w:type="dxa"/>
            <w:vMerge w:val="restart"/>
            <w:vAlign w:val="center"/>
          </w:tcPr>
          <w:p>
            <w:pPr>
              <w:widowControl/>
              <w:jc w:val="center"/>
              <w:rPr>
                <w:rFonts w:ascii="宋体" w:hAnsi="宋体" w:cs="宋体"/>
                <w:color w:val="000000"/>
                <w:kern w:val="0"/>
                <w:lang w:bidi="ar"/>
              </w:rPr>
            </w:pPr>
            <w:r>
              <w:rPr>
                <w:rFonts w:hint="eastAsia" w:ascii="宋体" w:hAnsi="宋体" w:cs="宋体"/>
                <w:color w:val="000000"/>
                <w:kern w:val="0"/>
              </w:rPr>
              <w:t>杭州银行股份有限公司</w:t>
            </w: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住所</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widowControl/>
              <w:jc w:val="left"/>
              <w:rPr>
                <w:rFonts w:ascii="宋体" w:hAnsi="宋体" w:cs="宋体"/>
                <w:color w:val="000000"/>
                <w:kern w:val="0"/>
                <w:lang w:bidi="ar"/>
              </w:rPr>
            </w:pP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客服热线</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兴业银行股份有限公司</w:t>
            </w: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厦门国际银行股份有限公司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富邦华一银行有限公司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宁波鄞州农村商业银行股份有限公司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深圳前海微众银行股份有限公司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吉林亿联银行股份有限公司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重庆富民银行股份有限公司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中信百信银行股份有限公司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江苏苏宁银行股份有限公司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石嘴山银行股份有限公司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齐鲁银行股份有限公司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ascii="宋体" w:hAnsi="宋体" w:cs="宋体"/>
                <w:color w:val="000000"/>
                <w:kern w:val="0"/>
              </w:rPr>
            </w:pPr>
            <w:r>
              <w:rPr>
                <w:rFonts w:hint="eastAsia" w:ascii="宋体" w:hAnsi="宋体" w:cs="宋体"/>
                <w:color w:val="000000"/>
                <w:kern w:val="0"/>
              </w:rPr>
              <w:t>销售机构职责</w:t>
            </w:r>
          </w:p>
        </w:tc>
        <w:tc>
          <w:tcPr>
            <w:tcW w:w="7613" w:type="dxa"/>
            <w:gridSpan w:val="3"/>
            <w:vAlign w:val="center"/>
          </w:tcPr>
          <w:p>
            <w:pPr>
              <w:widowControl/>
              <w:jc w:val="left"/>
              <w:textAlignment w:val="center"/>
              <w:rPr>
                <w:rFonts w:ascii="宋体" w:hAnsi="宋体" w:cs="宋体"/>
                <w:color w:val="000000"/>
                <w:kern w:val="0"/>
                <w:lang w:bidi="ar"/>
              </w:rPr>
            </w:pPr>
            <w:r>
              <w:rPr>
                <w:rFonts w:hint="eastAsia" w:ascii="宋体" w:hAnsi="宋体" w:cs="宋体"/>
                <w:color w:val="000000"/>
                <w:kern w:val="0"/>
              </w:rPr>
              <w:t>主要负责理财计划推广、投资者风险承受能力评估、投资者适当性管理、理财计划份额认购、申购及赎回办理。</w:t>
            </w:r>
            <w:r>
              <w:rPr>
                <w:rFonts w:hint="eastAsia" w:ascii="宋体" w:hAnsi="宋体" w:cs="宋体"/>
                <w:color w:val="000000"/>
                <w:kern w:val="0"/>
              </w:rPr>
              <w:br w:type="textWrapping"/>
            </w:r>
            <w:r>
              <w:rPr>
                <w:rFonts w:hint="eastAsia" w:ascii="宋体" w:hAnsi="宋体" w:cs="宋体"/>
                <w:color w:val="000000"/>
                <w:kern w:val="0"/>
              </w:rPr>
              <w:t>协助管理人负责与投资者签订理财计划合同、与投资者沟通及进行信息披露、接受投资者咨询和客户维护等销售服务。</w:t>
            </w:r>
          </w:p>
        </w:tc>
      </w:tr>
    </w:tbl>
    <w:p>
      <w:pPr>
        <w:numPr>
          <w:ilvl w:val="255"/>
          <w:numId w:val="0"/>
        </w:numPr>
        <w:spacing w:line="520" w:lineRule="exact"/>
        <w:rPr>
          <w:rFonts w:ascii="Cambria" w:hAnsi="Cambria" w:cs="宋体"/>
          <w:b/>
          <w:bCs/>
          <w:kern w:val="28"/>
          <w:sz w:val="28"/>
          <w:szCs w:val="28"/>
        </w:rPr>
      </w:pPr>
      <w:r>
        <w:rPr>
          <w:rFonts w:hint="eastAsia" w:ascii="Cambria" w:hAnsi="Cambria" w:cs="宋体"/>
          <w:b/>
          <w:bCs/>
          <w:kern w:val="28"/>
          <w:sz w:val="28"/>
          <w:szCs w:val="28"/>
        </w:rPr>
        <w:t>十二、其他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理财计划合同的订立、生效、履行、解释、修改和终止等事项的适用法律和争议解决方式按照《杭银理财理财计划投资协议书》、《杭银理财理财计划销售协议书》的相关约定执行。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p>
    <w:p>
      <w:pPr>
        <w:spacing w:line="520" w:lineRule="exact"/>
        <w:rPr>
          <w:rFonts w:hint="eastAsia" w:ascii="宋体" w:hAnsi="Wingdings" w:cs="宋体"/>
          <w:color w:val="000000"/>
          <w:kern w:val="0"/>
        </w:rPr>
      </w:pPr>
      <w:bookmarkStart w:id="3" w:name="_GoBack"/>
      <w:bookmarkEnd w:id="3"/>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销售协议书、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rPr>
        <w:t>（202101版）</w:t>
      </w:r>
    </w:p>
    <w:p>
      <w:pPr>
        <w:autoSpaceDE w:val="0"/>
        <w:spacing w:line="360" w:lineRule="auto"/>
        <w:jc w:val="center"/>
      </w:pPr>
    </w:p>
    <w:p>
      <w:pPr>
        <w:autoSpaceDE w:val="0"/>
        <w:spacing w:line="360" w:lineRule="auto"/>
        <w:ind w:firstLine="422" w:firstLineChars="200"/>
        <w:rPr>
          <w:rFonts w:ascii="宋体" w:hAnsi="宋体"/>
          <w:b/>
        </w:rPr>
      </w:pPr>
      <w:r>
        <w:rPr>
          <w:rFonts w:hint="eastAsia" w:ascii="宋体" w:hAnsi="宋体"/>
          <w:b/>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rPr>
      </w:pPr>
      <w:r>
        <w:rPr>
          <w:rFonts w:hint="eastAsia" w:ascii="宋体" w:hAnsi="宋体"/>
          <w:b/>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rPr>
      </w:pPr>
      <w:r>
        <w:rPr>
          <w:rFonts w:hint="eastAsia" w:ascii="宋体" w:hAnsi="宋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rPr>
      </w:pPr>
      <w:r>
        <w:rPr>
          <w:rFonts w:hint="eastAsia" w:ascii="宋体" w:hAnsi="宋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名词释义</w:t>
      </w:r>
    </w:p>
    <w:p>
      <w:pPr>
        <w:widowControl/>
        <w:autoSpaceDE w:val="0"/>
        <w:spacing w:line="360" w:lineRule="auto"/>
        <w:ind w:firstLine="420" w:firstLineChars="200"/>
        <w:jc w:val="left"/>
        <w:rPr>
          <w:rFonts w:ascii="宋体" w:hAnsi="宋体"/>
        </w:rPr>
      </w:pPr>
      <w:r>
        <w:rPr>
          <w:rFonts w:hint="eastAsia" w:ascii="宋体" w:hAnsi="宋体"/>
        </w:rPr>
        <w:t>详见对应期次的理财计划产品说明书“释义”部分。</w:t>
      </w:r>
    </w:p>
    <w:p>
      <w:pPr>
        <w:widowControl/>
        <w:autoSpaceDE w:val="0"/>
        <w:spacing w:line="360" w:lineRule="auto"/>
        <w:ind w:firstLine="420" w:firstLineChars="200"/>
        <w:jc w:val="left"/>
        <w:rPr>
          <w:rFonts w:ascii="宋体" w:hAnsi="宋体"/>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rPr>
      </w:pPr>
      <w:r>
        <w:rPr>
          <w:rFonts w:hint="eastAsia" w:ascii="宋体" w:hAnsi="宋体" w:cs="宋体"/>
          <w:kern w:val="0"/>
        </w:rPr>
        <w:t>杭银理财有限责任公司</w:t>
      </w:r>
    </w:p>
    <w:p>
      <w:pPr>
        <w:spacing w:line="360" w:lineRule="auto"/>
        <w:rPr>
          <w:rFonts w:ascii="宋体" w:hAnsi="宋体"/>
        </w:rPr>
      </w:pPr>
      <w:r>
        <w:rPr>
          <w:rFonts w:hint="eastAsia" w:ascii="宋体" w:hAnsi="宋体" w:cs="Times New Roman"/>
          <w:color w:val="000000"/>
        </w:rPr>
        <w:br w:type="page"/>
      </w:r>
      <w:r>
        <w:rPr>
          <w:rFonts w:hint="eastAsia" w:ascii="宋体" w:hAnsi="宋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b/>
        </w:rPr>
      </w:pPr>
      <w:r>
        <w:rPr>
          <w:rFonts w:hint="eastAsia" w:ascii="宋体" w:hAnsi="宋体"/>
          <w:b/>
        </w:rPr>
        <w:t>投资者（签字）：</w:t>
      </w:r>
    </w:p>
    <w:p>
      <w:pPr>
        <w:spacing w:before="156" w:beforeLines="50" w:after="156" w:afterLines="50" w:line="360" w:lineRule="auto"/>
        <w:ind w:firstLine="4200" w:firstLineChars="2000"/>
        <w:jc w:val="right"/>
        <w:rPr>
          <w:rFonts w:ascii="Arial" w:hAnsi="Arial" w:cs="Times New Roman"/>
        </w:rPr>
      </w:pPr>
      <w:r>
        <w:rPr>
          <w:rFonts w:hint="eastAsia" w:ascii="Arial" w:hAnsi="Arial" w:cs="宋体"/>
        </w:rPr>
        <w:t>年    月   日</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w:rPr>
          <w:rFonts w:hint="eastAsia" w:ascii="宋体" w:hAnsi="宋体"/>
          <w:b/>
        </w:rPr>
        <w:t>代理销售机构签章：</w:t>
      </w:r>
    </w:p>
    <w:p>
      <w:pPr>
        <w:spacing w:line="360" w:lineRule="auto"/>
        <w:rPr>
          <w:rFonts w:ascii="宋体" w:hAnsi="宋体"/>
          <w:b/>
        </w:rPr>
      </w:pPr>
    </w:p>
    <w:p>
      <w:pPr>
        <w:spacing w:line="360" w:lineRule="auto"/>
        <w:rPr>
          <w:rFonts w:ascii="宋体" w:hAnsi="宋体"/>
          <w:b/>
        </w:rPr>
      </w:pPr>
    </w:p>
    <w:p>
      <w:pPr>
        <w:spacing w:line="520" w:lineRule="exact"/>
        <w:ind w:firstLine="424" w:firstLineChars="202"/>
        <w:rPr>
          <w:rFonts w:hint="eastAsia" w:ascii="宋体" w:hAnsi="Wingdings" w:cs="宋体"/>
          <w:color w:val="000000"/>
          <w:kern w:val="0"/>
        </w:rPr>
      </w:pPr>
      <w:r>
        <w:rPr>
          <w:rFonts w:hint="eastAsia" w:ascii="Arial" w:hAnsi="Arial" w:cs="宋体"/>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3073"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45CE"/>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4F58C3"/>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EF7ECB"/>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55477D3"/>
    <w:rsid w:val="27660D0E"/>
    <w:rsid w:val="28FB441D"/>
    <w:rsid w:val="29526849"/>
    <w:rsid w:val="29E37A3B"/>
    <w:rsid w:val="2A49017D"/>
    <w:rsid w:val="2CF11704"/>
    <w:rsid w:val="2D45719C"/>
    <w:rsid w:val="2DEC75F3"/>
    <w:rsid w:val="2E0B2CD2"/>
    <w:rsid w:val="2E93070A"/>
    <w:rsid w:val="30E90FE8"/>
    <w:rsid w:val="32406CA4"/>
    <w:rsid w:val="32C55323"/>
    <w:rsid w:val="33160ACE"/>
    <w:rsid w:val="351E191B"/>
    <w:rsid w:val="35892A55"/>
    <w:rsid w:val="366571B0"/>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ACA4F6B"/>
    <w:rsid w:val="4D2F2C43"/>
    <w:rsid w:val="50B01C04"/>
    <w:rsid w:val="50DD7DA0"/>
    <w:rsid w:val="510826B2"/>
    <w:rsid w:val="52EC289B"/>
    <w:rsid w:val="57B974E6"/>
    <w:rsid w:val="5A726ACA"/>
    <w:rsid w:val="5A8903AA"/>
    <w:rsid w:val="5BA072DA"/>
    <w:rsid w:val="5BCE6A5B"/>
    <w:rsid w:val="5BE91D19"/>
    <w:rsid w:val="5C4F2FF0"/>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D218E8"/>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semiHidden/>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 w:type="paragraph" w:customStyle="1" w:styleId="3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38</Pages>
  <Words>28528</Words>
  <Characters>29574</Characters>
  <Lines>217</Lines>
  <Paragraphs>61</Paragraphs>
  <TotalTime>0</TotalTime>
  <ScaleCrop>false</ScaleCrop>
  <LinksUpToDate>false</LinksUpToDate>
  <CharactersWithSpaces>29861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2022-06-07T01:55:15Z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E1F3FEE09F6F4B388B8C0BC3A069C9B9</vt:lpwstr>
  </property>
</Properties>
</file>