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8.0.0 -->
  <w:body>
    <w:p>
      <w:pPr>
        <w:pStyle w:val="Default"/>
        <w:spacing w:line="420" w:lineRule="exact"/>
        <w:jc w:val="center"/>
        <w:rPr>
          <w:rFonts w:ascii="宋体" w:hAnsi="宋体"/>
          <w:b/>
          <w:color w:val="auto"/>
        </w:rPr>
      </w:pPr>
      <w:r>
        <w:rPr>
          <w:rFonts w:ascii="宋体" w:hAnsi="宋体" w:hint="eastAsia"/>
          <w:b/>
          <w:color w:val="auto"/>
        </w:rPr>
        <w:t>杭银理财幸福99丰裕固收理财计划</w:t>
      </w:r>
    </w:p>
    <w:p>
      <w:pPr>
        <w:pStyle w:val="Default"/>
        <w:spacing w:line="420" w:lineRule="exact"/>
        <w:jc w:val="center"/>
        <w:rPr>
          <w:rFonts w:ascii="宋体" w:hAnsi="宋体"/>
          <w:b/>
          <w:color w:val="auto"/>
        </w:rPr>
      </w:pPr>
      <w:r>
        <w:rPr>
          <w:rFonts w:ascii="宋体" w:hAnsi="宋体" w:hint="eastAsia"/>
          <w:b/>
          <w:color w:val="auto"/>
        </w:rPr>
        <w:t>风险揭示书</w:t>
      </w:r>
    </w:p>
    <w:p>
      <w:pPr>
        <w:pStyle w:val="Default"/>
        <w:spacing w:line="360" w:lineRule="auto"/>
        <w:jc w:val="center"/>
        <w:rPr>
          <w:rFonts w:ascii="宋体" w:hAnsi="宋体"/>
          <w:color w:val="auto"/>
          <w:sz w:val="21"/>
          <w:szCs w:val="21"/>
        </w:rPr>
      </w:pPr>
      <w:r>
        <w:rPr>
          <w:rFonts w:ascii="宋体" w:hAnsi="宋体" w:hint="eastAsia"/>
          <w:b/>
          <w:color w:val="auto"/>
          <w:sz w:val="21"/>
          <w:szCs w:val="21"/>
        </w:rPr>
        <w:t>“理财非存款、产品有风险、投资须谨慎</w:t>
      </w:r>
      <w:r>
        <w:rPr>
          <w:rFonts w:ascii="宋体" w:hAnsi="宋体" w:hint="eastAsia"/>
          <w:color w:val="auto"/>
          <w:sz w:val="21"/>
          <w:szCs w:val="21"/>
        </w:rPr>
        <w:t>”</w:t>
      </w:r>
    </w:p>
    <w:p>
      <w:pPr>
        <w:pStyle w:val="Default"/>
        <w:spacing w:line="360" w:lineRule="auto"/>
        <w:jc w:val="both"/>
        <w:rPr>
          <w:rFonts w:ascii="宋体" w:hAnsi="宋体"/>
          <w:color w:val="auto"/>
          <w:sz w:val="21"/>
          <w:szCs w:val="21"/>
        </w:rPr>
      </w:pPr>
      <w:r>
        <w:rPr>
          <w:rFonts w:ascii="宋体" w:hAnsi="宋体" w:hint="eastAsia"/>
          <w:color w:val="auto"/>
          <w:sz w:val="21"/>
          <w:szCs w:val="21"/>
        </w:rPr>
        <w:t>尊敬的理财投资者：</w:t>
      </w:r>
    </w:p>
    <w:p>
      <w:pPr>
        <w:pStyle w:val="Default"/>
        <w:spacing w:line="360" w:lineRule="auto"/>
        <w:ind w:firstLine="420" w:firstLineChars="200"/>
        <w:jc w:val="both"/>
        <w:rPr>
          <w:rFonts w:ascii="宋体" w:hAnsi="宋体"/>
          <w:b/>
          <w:sz w:val="21"/>
          <w:szCs w:val="21"/>
        </w:rPr>
      </w:pPr>
      <w:r>
        <w:rPr>
          <w:rFonts w:ascii="宋体" w:hAnsi="宋体" w:cs="宋体" w:hint="eastAsia"/>
          <w:sz w:val="21"/>
          <w:szCs w:val="21"/>
        </w:rPr>
        <w:t>本理财产品：杭银理财幸福99丰裕固收理财计划，属于〖公募〗</w:t>
      </w:r>
      <w:r>
        <w:rPr>
          <w:rFonts w:ascii="宋体" w:hAnsi="宋体" w:cs="宋体" w:hint="eastAsia"/>
          <w:b/>
          <w:sz w:val="21"/>
          <w:szCs w:val="21"/>
        </w:rPr>
        <w:t>、</w:t>
      </w:r>
      <w:r>
        <w:rPr>
          <w:rFonts w:ascii="宋体" w:hAnsi="宋体" w:cs="宋体" w:hint="eastAsia"/>
          <w:sz w:val="21"/>
          <w:szCs w:val="21"/>
        </w:rPr>
        <w:t>〖封闭式〗</w:t>
      </w:r>
      <w:r>
        <w:rPr>
          <w:rFonts w:ascii="宋体" w:hAnsi="宋体" w:cs="宋体" w:hint="eastAsia"/>
          <w:b/>
          <w:sz w:val="21"/>
          <w:szCs w:val="21"/>
        </w:rPr>
        <w:t>、</w:t>
      </w:r>
      <w:r>
        <w:rPr>
          <w:rFonts w:ascii="宋体" w:hAnsi="宋体" w:cs="宋体" w:hint="eastAsia"/>
          <w:sz w:val="21"/>
          <w:szCs w:val="21"/>
        </w:rPr>
        <w:t>〖固定收益类〗</w:t>
      </w:r>
      <w:r>
        <w:rPr>
          <w:rFonts w:ascii="宋体" w:hAnsi="宋体" w:cs="宋体" w:hint="eastAsia"/>
          <w:b/>
          <w:sz w:val="21"/>
          <w:szCs w:val="21"/>
        </w:rPr>
        <w:t>净值型</w:t>
      </w:r>
      <w:r>
        <w:rPr>
          <w:rFonts w:ascii="宋体" w:hAnsi="宋体" w:cs="宋体" w:hint="eastAsia"/>
          <w:b/>
          <w:bCs/>
          <w:sz w:val="21"/>
          <w:szCs w:val="21"/>
        </w:rPr>
        <w:t>理财产品</w:t>
      </w:r>
      <w:r>
        <w:rPr>
          <w:rFonts w:ascii="宋体" w:hAnsi="宋体" w:cs="宋体" w:hint="eastAsia"/>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ascii="宋体" w:hAnsi="宋体" w:cs="宋体" w:hint="eastAsia"/>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ascii="宋体" w:hAnsi="宋体" w:cs="宋体" w:hint="eastAsia"/>
          <w:color w:val="000000"/>
        </w:rPr>
        <w:t>第一条</w:t>
      </w:r>
      <w:r>
        <w:rPr>
          <w:rFonts w:ascii="宋体" w:hAnsi="宋体" w:cs="宋体"/>
          <w:color w:val="000000"/>
        </w:rPr>
        <w:t xml:space="preserve">  </w:t>
      </w:r>
      <w:r>
        <w:rPr>
          <w:rFonts w:ascii="宋体" w:hAnsi="宋体" w:cs="宋体" w:hint="eastAsia"/>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ascii="宋体" w:hAnsi="宋体" w:cs="宋体" w:hint="eastAsia"/>
          <w:b/>
          <w:color w:val="000000"/>
        </w:rPr>
        <w:t>信用风险：理财产品面临的信用风险主要是指因理财产品配置资产所涉及的相关债务主体到期未能履行还款义务，使理财产品本金或收益蒙受损失的风险。</w:t>
      </w:r>
    </w:p>
    <w:p>
      <w:pPr>
        <w:pStyle w:val="Default"/>
        <w:spacing w:line="360" w:lineRule="auto"/>
        <w:ind w:firstLine="420" w:firstLineChars="200"/>
        <w:jc w:val="both"/>
        <w:rPr>
          <w:rFonts w:ascii="宋体" w:hAnsi="宋体" w:cs="宋体"/>
          <w:sz w:val="21"/>
          <w:szCs w:val="21"/>
        </w:rPr>
      </w:pPr>
      <w:r>
        <w:rPr>
          <w:rFonts w:ascii="宋体" w:hAnsi="宋体" w:cs="宋体" w:hint="eastAsia"/>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ascii="宋体" w:hAnsi="宋体" w:cs="宋体" w:hint="eastAsia"/>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ascii="宋体" w:hAnsi="宋体" w:cs="宋体" w:hint="eastAsia"/>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ascii="宋体" w:hAnsi="宋体" w:cs="宋体" w:hint="eastAsia"/>
          <w:b/>
          <w:color w:val="000000"/>
        </w:rPr>
        <w:t>流动性风险：指投资组合内的资产不能迅速转变成现金，或因资产变现而导致的额外资金成本增加的风险。</w:t>
      </w:r>
      <w:r>
        <w:rPr>
          <w:rFonts w:ascii="宋体" w:cs="宋体" w:hint="eastAsia"/>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ascii="宋体" w:hAnsi="宋体" w:cs="宋体" w:hint="eastAsia"/>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4" w:firstLineChars="202"/>
        <w:jc w:val="left"/>
        <w:rPr>
          <w:rFonts w:ascii="宋体"/>
          <w:b/>
          <w:color w:val="000000"/>
        </w:rPr>
      </w:pPr>
      <w:r>
        <w:rPr>
          <w:rFonts w:ascii="宋体" w:hAnsi="宋体" w:cs="宋体" w:hint="eastAsia"/>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ascii="宋体" w:hAnsi="宋体" w:cs="宋体" w:hint="eastAsia"/>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ascii="宋体" w:hAnsi="宋体" w:cs="宋体" w:hint="eastAsia"/>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ascii="宋体" w:hAnsi="宋体" w:cs="宋体" w:hint="eastAsia"/>
          <w:color w:val="000000"/>
        </w:rPr>
        <w:t>管理人按照理财产品说明书有关条款的约定，发布理财产品的成立、运作、到期清算或提前终止等信息公告。投资者应根据约定及时登陆管理人或销售机构官方网站或拨打销售机构</w:t>
      </w:r>
      <w:r>
        <w:rPr>
          <w:rFonts w:ascii="宋体" w:cs="宋体" w:hint="eastAsia"/>
          <w:color w:val="000000"/>
          <w:szCs w:val="21"/>
        </w:rPr>
        <w:t>投资者服务热线</w:t>
      </w:r>
      <w:r>
        <w:rPr>
          <w:rFonts w:ascii="宋体" w:hAnsi="宋体" w:cs="宋体" w:hint="eastAsia"/>
          <w:color w:val="000000"/>
        </w:rPr>
        <w:t>查询，如果投资者未及时查询，或由于通信故障、系统故障以及其他不可抗力等因素的影响使得投资者无法及时了解产品信息，因此而产生的责任和风险由投资者自行承担。</w:t>
      </w:r>
      <w:r>
        <w:rPr>
          <w:rFonts w:ascii="宋体" w:hAnsi="宋体" w:cs="宋体" w:hint="eastAsia"/>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ascii="宋体" w:hAnsi="宋体" w:cs="宋体" w:hint="eastAsia"/>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4" w:firstLineChars="202"/>
        <w:jc w:val="left"/>
        <w:rPr>
          <w:rFonts w:ascii="宋体"/>
          <w:b/>
          <w:color w:val="000000"/>
        </w:rPr>
      </w:pPr>
      <w:r>
        <w:rPr>
          <w:rFonts w:ascii="宋体" w:hAnsi="宋体" w:cs="宋体" w:hint="eastAsia"/>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ascii="宋体" w:cs="宋体" w:hint="eastAsia"/>
          <w:color w:val="000000"/>
          <w:szCs w:val="21"/>
        </w:rPr>
        <w:t>第二条</w:t>
      </w:r>
      <w:r>
        <w:rPr>
          <w:rFonts w:ascii="宋体" w:cs="宋体"/>
          <w:color w:val="000000"/>
          <w:szCs w:val="21"/>
        </w:rPr>
        <w:t xml:space="preserve"> </w:t>
      </w:r>
      <w:r>
        <w:rPr>
          <w:rFonts w:ascii="宋体" w:cs="宋体" w:hint="eastAsia"/>
          <w:color w:val="000000"/>
          <w:szCs w:val="21"/>
        </w:rPr>
        <w:t>本理财产品特定风险揭示</w:t>
      </w:r>
      <w:r>
        <w:rPr>
          <w:rFonts w:ascii="宋体" w:cs="宋体"/>
          <w:color w:val="000000"/>
          <w:szCs w:val="21"/>
        </w:rPr>
        <w:t xml:space="preserve"> </w:t>
      </w:r>
    </w:p>
    <w:p>
      <w:pPr>
        <w:pStyle w:val="Default"/>
        <w:spacing w:line="360" w:lineRule="auto"/>
        <w:ind w:firstLine="422"/>
        <w:jc w:val="both"/>
        <w:rPr>
          <w:rFonts w:ascii="宋体" w:cs="宋体"/>
          <w:bCs/>
          <w:sz w:val="21"/>
          <w:szCs w:val="21"/>
        </w:rPr>
      </w:pPr>
      <w:r>
        <w:rPr>
          <w:rFonts w:ascii="宋体" w:cs="宋体" w:hint="eastAsia"/>
          <w:b/>
          <w:sz w:val="21"/>
          <w:szCs w:val="21"/>
        </w:rPr>
        <w:t>本理财产品为</w:t>
      </w:r>
      <w:r>
        <w:rPr>
          <w:rFonts w:ascii="宋体" w:hAnsi="宋体" w:cs="宋体" w:hint="eastAsia"/>
          <w:sz w:val="21"/>
          <w:szCs w:val="21"/>
        </w:rPr>
        <w:t>〖公募〗、〖封闭式〗、〖固定收益类〗</w:t>
      </w:r>
      <w:r>
        <w:rPr>
          <w:rFonts w:ascii="宋体" w:cs="宋体" w:hint="eastAsia"/>
          <w:b/>
          <w:sz w:val="21"/>
          <w:szCs w:val="21"/>
        </w:rPr>
        <w:t>净值型理财产品，不保证本金与收益；本理财产品风险评级结果：根据本公司理财产品内部风险评级，该产品风险评级结果为</w:t>
      </w:r>
      <w:r>
        <w:rPr>
          <w:rFonts w:ascii="宋体" w:hAnsi="宋体" w:cs="宋体" w:hint="eastAsia"/>
          <w:sz w:val="21"/>
          <w:szCs w:val="21"/>
        </w:rPr>
        <w:t>〖</w:t>
      </w:r>
      <w:r>
        <w:rPr>
          <w:rFonts w:ascii="宋体" w:hAnsi="宋体" w:cs="宋体" w:hint="eastAsia"/>
          <w:b/>
          <w:sz w:val="21"/>
          <w:szCs w:val="21"/>
        </w:rPr>
        <w:t>R2</w:t>
      </w:r>
      <w:r>
        <w:rPr>
          <w:rFonts w:ascii="宋体" w:hAnsi="宋体" w:cs="宋体" w:hint="eastAsia"/>
          <w:sz w:val="21"/>
          <w:szCs w:val="21"/>
        </w:rPr>
        <w:t>〗</w:t>
      </w:r>
      <w:r>
        <w:rPr>
          <w:rFonts w:ascii="宋体" w:cs="宋体" w:hint="eastAsia"/>
          <w:b/>
          <w:sz w:val="21"/>
          <w:szCs w:val="21"/>
        </w:rPr>
        <w:t>，</w:t>
      </w:r>
      <w:r>
        <w:rPr>
          <w:rFonts w:ascii="宋体" w:hAnsi="宋体" w:cs="宋体" w:hint="eastAsia"/>
          <w:sz w:val="21"/>
          <w:szCs w:val="21"/>
        </w:rPr>
        <w:t>〖</w:t>
      </w:r>
      <w:r>
        <w:rPr>
          <w:rFonts w:ascii="宋体" w:hAnsi="宋体" w:cs="宋体" w:hint="eastAsia"/>
          <w:b/>
          <w:sz w:val="21"/>
          <w:szCs w:val="21"/>
        </w:rPr>
        <w:t>中低</w:t>
      </w:r>
      <w:r>
        <w:rPr>
          <w:rFonts w:ascii="宋体" w:hAnsi="宋体" w:cs="宋体" w:hint="eastAsia"/>
          <w:sz w:val="21"/>
          <w:szCs w:val="21"/>
        </w:rPr>
        <w:t>〗</w:t>
      </w:r>
      <w:r>
        <w:rPr>
          <w:rFonts w:ascii="宋体" w:cs="宋体" w:hint="eastAsia"/>
          <w:b/>
          <w:sz w:val="21"/>
          <w:szCs w:val="21"/>
        </w:rPr>
        <w:t>风险</w:t>
      </w:r>
      <w:r>
        <w:rPr>
          <w:rFonts w:ascii="宋体" w:cs="宋体" w:hint="eastAsia"/>
          <w:sz w:val="21"/>
          <w:szCs w:val="21"/>
        </w:rPr>
        <w:t>（本风险等级为我公司内部风险评级结果，仅供参考，我公司不对前述风险评级结果的准确性做出任何形式的保证，也不承</w:t>
      </w:r>
      <w:r>
        <w:rPr>
          <w:rFonts w:ascii="宋体" w:cs="宋体" w:hint="eastAsia"/>
          <w:bCs/>
          <w:sz w:val="21"/>
          <w:szCs w:val="21"/>
        </w:rPr>
        <w:t>担任何法律责</w:t>
      </w:r>
      <w:r>
        <w:rPr>
          <w:rFonts w:ascii="宋体" w:cs="宋体" w:hint="eastAsia"/>
          <w:sz w:val="21"/>
          <w:szCs w:val="21"/>
        </w:rPr>
        <w:t>任）；</w:t>
      </w:r>
      <w:r>
        <w:rPr>
          <w:rFonts w:ascii="宋体" w:cs="宋体" w:hint="eastAsia"/>
          <w:bCs/>
          <w:sz w:val="21"/>
          <w:szCs w:val="21"/>
        </w:rPr>
        <w:t>本理财计划通过代理销售机构渠道销售的，理财计划产品评级应当以代理销售机构最终披露的评级结果为准。</w:t>
      </w:r>
      <w:r>
        <w:rPr>
          <w:rFonts w:ascii="宋体" w:cs="宋体" w:hint="eastAsia"/>
          <w:sz w:val="21"/>
          <w:szCs w:val="21"/>
        </w:rPr>
        <w:t>适合购买本理财产品的投资人：</w:t>
      </w:r>
      <w:r>
        <w:rPr>
          <w:rFonts w:ascii="宋体" w:cs="宋体" w:hint="eastAsia"/>
          <w:b/>
          <w:sz w:val="21"/>
          <w:szCs w:val="21"/>
        </w:rPr>
        <w:t>本理财产品适合机构投资者及</w:t>
      </w:r>
      <w:r>
        <w:rPr>
          <w:rFonts w:ascii="宋体" w:hAnsi="宋体" w:cs="宋体" w:hint="eastAsia"/>
          <w:sz w:val="21"/>
          <w:szCs w:val="21"/>
        </w:rPr>
        <w:t>〖稳健型、平衡型、成长型、进取型〗</w:t>
      </w:r>
      <w:r>
        <w:rPr>
          <w:rFonts w:ascii="宋体" w:cs="宋体" w:hint="eastAsia"/>
          <w:b/>
          <w:sz w:val="21"/>
          <w:szCs w:val="21"/>
        </w:rPr>
        <w:t>的个人投资者。本理财产品总体风险程度较低，收益波动较小，虽然存在一些可能对产品本金和收益安全产生不利影响的因素，但产品本金出现损失的可能性较小</w:t>
      </w:r>
      <w:r>
        <w:rPr>
          <w:rFonts w:ascii="宋体" w:cs="宋体" w:hint="eastAsia"/>
          <w:b/>
          <w:bCs/>
          <w:sz w:val="21"/>
          <w:szCs w:val="21"/>
        </w:rPr>
        <w:t>。管理人不承诺本金保障，在发生最不利投资情形下（可能但并不一定发生），投资者可能无法取得收益并可能面临损失本金的风险。</w:t>
      </w:r>
      <w:r>
        <w:rPr>
          <w:rFonts w:ascii="宋体" w:cs="宋体" w:hint="eastAsia"/>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Default"/>
        <w:spacing w:line="360" w:lineRule="auto"/>
        <w:ind w:firstLine="2940" w:firstLineChars="1400"/>
        <w:jc w:val="right"/>
        <w:rPr>
          <w:rFonts w:ascii="宋体" w:hAnsi="宋体" w:cs="宋体"/>
          <w:color w:val="auto"/>
          <w:sz w:val="21"/>
          <w:szCs w:val="21"/>
        </w:rPr>
      </w:pPr>
      <w:r>
        <w:rPr>
          <w:rFonts w:ascii="宋体" w:hAnsi="宋体" w:cs="宋体" w:hint="eastAsia"/>
          <w:color w:val="auto"/>
          <w:sz w:val="21"/>
          <w:szCs w:val="21"/>
        </w:rPr>
        <w:t>风险提示方： 杭银理财有限责任公司</w:t>
      </w:r>
    </w:p>
    <w:p>
      <w:pPr>
        <w:pStyle w:val="Default"/>
        <w:spacing w:line="360" w:lineRule="auto"/>
        <w:jc w:val="both"/>
        <w:rPr>
          <w:rFonts w:ascii="宋体" w:hAnsi="宋体"/>
          <w:b/>
          <w:color w:val="auto"/>
          <w:sz w:val="21"/>
          <w:szCs w:val="21"/>
        </w:rPr>
      </w:pPr>
      <w:r>
        <w:rPr>
          <w:rFonts w:ascii="宋体" w:hAnsi="宋体" w:hint="eastAsia"/>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Default"/>
        <w:spacing w:line="360" w:lineRule="auto"/>
        <w:jc w:val="center"/>
        <w:rPr>
          <w:rFonts w:ascii="宋体" w:hAnsi="宋体"/>
          <w:b/>
          <w:color w:val="auto"/>
          <w:sz w:val="21"/>
          <w:szCs w:val="21"/>
        </w:rPr>
      </w:pPr>
    </w:p>
    <w:p>
      <w:pPr>
        <w:pStyle w:val="Default"/>
        <w:spacing w:line="360" w:lineRule="auto"/>
        <w:jc w:val="center"/>
        <w:rPr>
          <w:rFonts w:ascii="宋体" w:hAnsi="宋体"/>
          <w:b/>
          <w:color w:val="auto"/>
          <w:sz w:val="21"/>
          <w:szCs w:val="21"/>
        </w:rPr>
      </w:pPr>
    </w:p>
    <w:p>
      <w:pPr>
        <w:pStyle w:val="Default"/>
        <w:spacing w:line="360" w:lineRule="auto"/>
        <w:jc w:val="center"/>
        <w:rPr>
          <w:rFonts w:ascii="宋体" w:hAnsi="宋体"/>
          <w:b/>
          <w:color w:val="auto"/>
          <w:sz w:val="21"/>
          <w:szCs w:val="21"/>
        </w:rPr>
      </w:pPr>
    </w:p>
    <w:p>
      <w:pPr>
        <w:pStyle w:val="Default"/>
        <w:spacing w:line="360" w:lineRule="auto"/>
        <w:jc w:val="center"/>
        <w:rPr>
          <w:rFonts w:ascii="宋体" w:hAnsi="宋体"/>
          <w:b/>
          <w:color w:val="auto"/>
          <w:sz w:val="21"/>
          <w:szCs w:val="21"/>
        </w:rPr>
      </w:pPr>
      <w:r>
        <w:rPr>
          <w:rFonts w:ascii="宋体" w:hAnsi="宋体" w:hint="eastAsia"/>
          <w:b/>
          <w:color w:val="auto"/>
          <w:sz w:val="21"/>
          <w:szCs w:val="21"/>
        </w:rPr>
        <w:t>投资者确认栏</w:t>
      </w:r>
    </w:p>
    <w:p>
      <w:pPr>
        <w:pStyle w:val="Default"/>
        <w:spacing w:line="420" w:lineRule="exact"/>
        <w:jc w:val="both"/>
        <w:rPr>
          <w:rFonts w:ascii="宋体" w:hAnsi="宋体"/>
          <w:color w:val="auto"/>
          <w:sz w:val="21"/>
          <w:szCs w:val="21"/>
        </w:rPr>
      </w:pPr>
      <w:r>
        <w:rPr>
          <w:rFonts w:ascii="宋体" w:hAnsi="宋体" w:hint="eastAsia"/>
          <w:color w:val="auto"/>
          <w:sz w:val="21"/>
          <w:szCs w:val="21"/>
        </w:rPr>
        <w:t>本人经销售机构评估的风险承受能力等级为（投资者填写）：</w:t>
      </w:r>
    </w:p>
    <w:p>
      <w:pPr>
        <w:pStyle w:val="Default"/>
        <w:spacing w:line="420" w:lineRule="exact"/>
        <w:jc w:val="both"/>
        <w:rPr>
          <w:rFonts w:ascii="宋体" w:hAnsi="宋体"/>
          <w:color w:val="auto"/>
          <w:sz w:val="21"/>
          <w:szCs w:val="21"/>
          <w:u w:val="single"/>
        </w:rPr>
      </w:pPr>
      <w:r>
        <w:rPr>
          <w:rFonts w:ascii="宋体" w:hAnsi="宋体" w:hint="eastAsia"/>
          <w:color w:val="auto"/>
          <w:sz w:val="21"/>
          <w:szCs w:val="21"/>
          <w:u w:val="single"/>
        </w:rPr>
        <w:t xml:space="preserve">□保守型        □稳健型        □平衡型        □成长型        □进取型    </w:t>
      </w:r>
    </w:p>
    <w:p>
      <w:pPr>
        <w:pStyle w:val="Default"/>
        <w:spacing w:line="420" w:lineRule="exact"/>
        <w:jc w:val="both"/>
        <w:rPr>
          <w:rFonts w:ascii="宋体" w:hAnsi="宋体"/>
          <w:b/>
          <w:color w:val="auto"/>
          <w:sz w:val="21"/>
          <w:szCs w:val="21"/>
        </w:rPr>
      </w:pPr>
      <w:r>
        <w:rPr>
          <w:rFonts w:ascii="宋体" w:hAnsi="宋体" w:hint="eastAsia"/>
          <w:color w:val="auto"/>
          <w:sz w:val="21"/>
          <w:szCs w:val="21"/>
        </w:rPr>
        <w:t>（投资者需全文抄录以下文字以完成确认：</w:t>
      </w:r>
      <w:r>
        <w:rPr>
          <w:rFonts w:ascii="宋体" w:hAnsi="宋体" w:hint="eastAsia"/>
          <w:b/>
          <w:color w:val="auto"/>
          <w:sz w:val="21"/>
          <w:szCs w:val="21"/>
        </w:rPr>
        <w:t xml:space="preserve">“本人已经阅读上述风险揭示，愿意承担投资风险。”） </w:t>
      </w:r>
    </w:p>
    <w:p>
      <w:pPr>
        <w:pStyle w:val="Default"/>
        <w:spacing w:line="420" w:lineRule="exact"/>
        <w:jc w:val="both"/>
        <w:rPr>
          <w:rFonts w:ascii="宋体" w:hAnsi="宋体"/>
          <w:color w:val="auto"/>
          <w:sz w:val="21"/>
          <w:szCs w:val="21"/>
          <w:u w:val="single"/>
        </w:rPr>
      </w:pPr>
      <w:r>
        <w:rPr>
          <w:rFonts w:ascii="宋体" w:hAnsi="宋体" w:hint="eastAsia"/>
          <w:color w:val="auto"/>
          <w:sz w:val="21"/>
          <w:szCs w:val="21"/>
        </w:rPr>
        <w:t>本人同时确认如下：</w:t>
      </w:r>
      <w:r>
        <w:rPr>
          <w:rFonts w:ascii="宋体" w:hAnsi="宋体" w:hint="eastAsia"/>
          <w:color w:val="auto"/>
          <w:sz w:val="21"/>
          <w:szCs w:val="21"/>
          <w:u w:val="single"/>
        </w:rPr>
        <w:t xml:space="preserve">                                                          </w:t>
      </w:r>
    </w:p>
    <w:p>
      <w:pPr>
        <w:pStyle w:val="Default"/>
        <w:spacing w:line="420" w:lineRule="exact"/>
        <w:jc w:val="both"/>
        <w:rPr>
          <w:rFonts w:ascii="宋体" w:hAnsi="宋体"/>
          <w:color w:val="auto"/>
          <w:sz w:val="21"/>
          <w:szCs w:val="21"/>
        </w:rPr>
      </w:pPr>
      <w:r>
        <w:rPr>
          <w:rFonts w:ascii="宋体" w:hAnsi="宋体" w:hint="eastAsia"/>
          <w:color w:val="auto"/>
          <w:sz w:val="21"/>
          <w:szCs w:val="21"/>
          <w:u w:val="single"/>
        </w:rPr>
        <w:t xml:space="preserve">                                                                                </w:t>
      </w:r>
    </w:p>
    <w:p>
      <w:pPr>
        <w:rPr>
          <w:rFonts w:ascii="宋体" w:hAnsi="宋体"/>
          <w:kern w:val="0"/>
          <w:szCs w:val="21"/>
        </w:rPr>
      </w:pPr>
    </w:p>
    <w:p>
      <w:pPr>
        <w:rPr>
          <w:rFonts w:ascii="宋体" w:hAnsi="宋体"/>
          <w:kern w:val="0"/>
          <w:szCs w:val="21"/>
        </w:rPr>
      </w:pPr>
      <w:r>
        <w:rPr>
          <w:rFonts w:ascii="宋体" w:hAnsi="宋体" w:hint="eastAsia"/>
          <w:kern w:val="0"/>
          <w:szCs w:val="21"/>
        </w:rPr>
        <w:t>确认人（签字）：</w:t>
      </w:r>
      <w:r>
        <w:rPr>
          <w:rFonts w:ascii="宋体" w:hAnsi="宋体" w:hint="eastAsia"/>
          <w:kern w:val="0"/>
          <w:szCs w:val="21"/>
          <w:u w:val="single"/>
        </w:rPr>
        <w:t xml:space="preserve">                    </w:t>
      </w:r>
      <w:r>
        <w:rPr>
          <w:rFonts w:ascii="宋体" w:hAnsi="宋体" w:hint="eastAsia"/>
          <w:kern w:val="0"/>
          <w:szCs w:val="21"/>
        </w:rPr>
        <w:t xml:space="preserve">              日期：</w:t>
      </w:r>
      <w:r>
        <w:rPr>
          <w:rFonts w:ascii="宋体" w:hAnsi="宋体" w:hint="eastAsia"/>
          <w:kern w:val="0"/>
          <w:szCs w:val="21"/>
          <w:u w:val="single"/>
        </w:rPr>
        <w:t xml:space="preserve">          </w:t>
      </w:r>
      <w:r>
        <w:rPr>
          <w:rFonts w:ascii="宋体" w:hAnsi="宋体" w:hint="eastAsia"/>
          <w:kern w:val="0"/>
          <w:szCs w:val="21"/>
        </w:rPr>
        <w:t>年</w:t>
      </w:r>
      <w:r>
        <w:rPr>
          <w:rFonts w:ascii="宋体" w:hAnsi="宋体" w:hint="eastAsia"/>
          <w:kern w:val="0"/>
          <w:szCs w:val="21"/>
          <w:u w:val="single"/>
        </w:rPr>
        <w:t xml:space="preserve">    </w:t>
      </w:r>
      <w:r>
        <w:rPr>
          <w:rFonts w:ascii="宋体" w:hAnsi="宋体" w:hint="eastAsia"/>
          <w:kern w:val="0"/>
          <w:szCs w:val="21"/>
        </w:rPr>
        <w:t>月</w:t>
      </w:r>
      <w:r>
        <w:rPr>
          <w:rFonts w:ascii="宋体" w:hAnsi="宋体" w:hint="eastAsia"/>
          <w:kern w:val="0"/>
          <w:szCs w:val="21"/>
          <w:u w:val="single"/>
        </w:rPr>
        <w:t xml:space="preserve">    </w:t>
      </w:r>
      <w:r>
        <w:rPr>
          <w:rFonts w:ascii="宋体" w:hAnsi="宋体" w:hint="eastAsia"/>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Default"/>
        <w:spacing w:line="360" w:lineRule="auto"/>
        <w:jc w:val="center"/>
        <w:rPr>
          <w:rFonts w:ascii="宋体" w:cs="宋体"/>
          <w:b/>
          <w:sz w:val="21"/>
          <w:szCs w:val="21"/>
        </w:rPr>
      </w:pPr>
      <w:r>
        <w:rPr>
          <w:rFonts w:ascii="宋体" w:hAnsi="宋体" w:cs="宋体" w:hint="eastAsia"/>
          <w:b/>
          <w:color w:val="auto"/>
          <w:sz w:val="21"/>
          <w:szCs w:val="21"/>
        </w:rPr>
        <w:t>投资者确认栏（机构投资者）</w:t>
      </w:r>
    </w:p>
    <w:p>
      <w:pPr>
        <w:pStyle w:val="Default"/>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ascii="宋体" w:hAnsi="宋体" w:cs="宋体" w:hint="eastAsia"/>
          <w:b/>
          <w:bCs/>
          <w:szCs w:val="21"/>
        </w:rPr>
        <w:t>声明：我单位已充分阅读《投资者权益须知》《</w:t>
      </w:r>
      <w:r>
        <w:rPr>
          <w:rFonts w:ascii="宋体" w:hAnsi="宋体" w:cs="宋体" w:hint="eastAsia"/>
          <w:b/>
          <w:szCs w:val="21"/>
        </w:rPr>
        <w:t>杭银理财幸福99丰裕固收理财计划</w:t>
      </w:r>
      <w:r>
        <w:rPr>
          <w:rFonts w:ascii="宋体" w:hAnsi="宋体" w:cs="宋体" w:hint="eastAsia"/>
          <w:b/>
          <w:bCs/>
          <w:szCs w:val="21"/>
        </w:rPr>
        <w:t>产品说明书》</w:t>
      </w:r>
      <w:r>
        <w:rPr>
          <w:rFonts w:ascii="宋体" w:hAnsi="宋体" w:hint="eastAsia"/>
          <w:b/>
          <w:bCs/>
          <w:szCs w:val="21"/>
        </w:rPr>
        <w:t>《杭银理财理财计划投资协议书》《杭银理财理财计划销售协议书》</w:t>
      </w:r>
      <w:r>
        <w:rPr>
          <w:rFonts w:ascii="宋体" w:hAnsi="宋体" w:cs="宋体" w:hint="eastAsia"/>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ascii="宋体" w:hAnsi="宋体" w:cs="宋体" w:hint="eastAsia"/>
          <w:kern w:val="0"/>
          <w:szCs w:val="21"/>
        </w:rPr>
        <w:t>投资者（公章）</w:t>
      </w:r>
      <w:r>
        <w:rPr>
          <w:rFonts w:ascii="宋体" w:hAnsi="宋体" w:cs="宋体"/>
          <w:kern w:val="0"/>
          <w:szCs w:val="21"/>
        </w:rPr>
        <w:t xml:space="preserve">                          </w:t>
      </w:r>
      <w:r>
        <w:rPr>
          <w:rFonts w:ascii="宋体" w:hAnsi="宋体" w:cs="宋体" w:hint="eastAsia"/>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 xml:space="preserve">          日期：</w:t>
      </w:r>
      <w:r>
        <w:rPr>
          <w:rFonts w:ascii="宋体" w:hAnsi="宋体" w:hint="eastAsia"/>
          <w:kern w:val="0"/>
          <w:szCs w:val="21"/>
          <w:u w:val="single"/>
        </w:rPr>
        <w:t xml:space="preserve">          </w:t>
      </w:r>
      <w:r>
        <w:rPr>
          <w:rFonts w:ascii="宋体" w:hAnsi="宋体" w:cs="宋体" w:hint="eastAsia"/>
          <w:kern w:val="0"/>
          <w:szCs w:val="21"/>
        </w:rPr>
        <w:t>年</w:t>
      </w:r>
      <w:r>
        <w:rPr>
          <w:rFonts w:ascii="宋体" w:hAnsi="宋体" w:hint="eastAsia"/>
          <w:kern w:val="0"/>
          <w:szCs w:val="21"/>
          <w:u w:val="single"/>
        </w:rPr>
        <w:t xml:space="preserve">    </w:t>
      </w:r>
      <w:r>
        <w:rPr>
          <w:rFonts w:ascii="宋体" w:hAnsi="宋体" w:cs="宋体"/>
          <w:kern w:val="0"/>
          <w:szCs w:val="21"/>
        </w:rPr>
        <w:t xml:space="preserve"> </w:t>
      </w:r>
      <w:r>
        <w:rPr>
          <w:rFonts w:ascii="宋体" w:hAnsi="宋体" w:cs="宋体" w:hint="eastAsia"/>
          <w:kern w:val="0"/>
          <w:szCs w:val="21"/>
        </w:rPr>
        <w:t>月</w:t>
      </w:r>
      <w:r>
        <w:rPr>
          <w:rFonts w:ascii="宋体" w:hAnsi="宋体" w:hint="eastAsia"/>
          <w:kern w:val="0"/>
          <w:szCs w:val="21"/>
          <w:u w:val="single"/>
        </w:rPr>
        <w:t xml:space="preserve">    </w:t>
      </w:r>
      <w:r>
        <w:rPr>
          <w:rFonts w:ascii="宋体" w:hAnsi="宋体" w:cs="宋体" w:hint="eastAsia"/>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sectPr>
      <w:footerReference w:type="default" r:id="rId4"/>
      <w:pgSz w:w="11906" w:h="16838"/>
      <w:pgMar w:top="1440" w:right="1134" w:bottom="1440" w:left="1134" w:header="851" w:footer="992" w:gutter="0"/>
      <w:cols w:space="720"/>
      <w:docGrid w:type="lines" w:linePitch="312"/>
    </w:sectPr>
    <w:p>
      <w:pPr>
        <w:autoSpaceDE w:val="0"/>
        <w:autoSpaceDN w:val="0"/>
        <w:adjustRightInd w:val="0"/>
        <w:spacing w:line="420" w:lineRule="exact"/>
        <w:jc w:val="center"/>
        <w:rPr>
          <w:rFonts w:ascii="宋体" w:hAnsi="宋体" w:cs="宋体"/>
          <w:b/>
          <w:kern w:val="0"/>
          <w:szCs w:val="21"/>
        </w:rPr>
      </w:pPr>
      <w:r>
        <w:rPr>
          <w:rFonts w:ascii="宋体" w:hAnsi="宋体" w:cs="宋体" w:hint="eastAsia"/>
          <w:b/>
          <w:kern w:val="0"/>
          <w:szCs w:val="21"/>
        </w:rPr>
        <w:t>杭银理财幸福99丰裕固收22055</w:t>
      </w:r>
      <w:r>
        <w:rPr>
          <w:rFonts w:ascii="宋体" w:hAnsi="宋体" w:cs="宋体"/>
          <w:b/>
          <w:kern w:val="0"/>
          <w:szCs w:val="21"/>
        </w:rPr>
        <w:t>期</w:t>
      </w:r>
      <w:r>
        <w:rPr>
          <w:rFonts w:ascii="宋体" w:hAnsi="宋体" w:cs="宋体" w:hint="eastAsia"/>
          <w:b/>
          <w:kern w:val="0"/>
          <w:szCs w:val="21"/>
        </w:rPr>
        <w:t>理财计划产品说明书（教师节专属）</w:t>
      </w:r>
    </w:p>
    <w:p>
      <w:pPr>
        <w:autoSpaceDE w:val="0"/>
        <w:autoSpaceDN w:val="0"/>
        <w:adjustRightInd w:val="0"/>
        <w:spacing w:line="420" w:lineRule="exact"/>
        <w:ind w:right="420"/>
        <w:jc w:val="center"/>
        <w:rPr>
          <w:rFonts w:ascii="宋体" w:hAnsi="宋体" w:cs="宋体"/>
          <w:b/>
          <w:kern w:val="0"/>
          <w:szCs w:val="21"/>
        </w:rPr>
      </w:pPr>
      <w:r>
        <w:rPr>
          <w:rFonts w:ascii="宋体" w:hAnsi="宋体" w:cs="宋体" w:hint="eastAsia"/>
          <w:color w:val="000000"/>
        </w:rPr>
        <w:t xml:space="preserve">                                                             备案编号</w:t>
      </w:r>
      <w:r>
        <w:rPr>
          <w:rFonts w:ascii="宋体" w:hAnsi="宋体" w:cs="宋体" w:hint="eastAsia"/>
          <w:color w:val="000000"/>
          <w:szCs w:val="21"/>
        </w:rPr>
        <w:t>:</w:t>
      </w:r>
      <w:r>
        <w:t xml:space="preserve"> Z7002222000078</w:t>
      </w:r>
    </w:p>
    <w:p>
      <w:pPr>
        <w:autoSpaceDE w:val="0"/>
        <w:autoSpaceDN w:val="0"/>
        <w:adjustRightInd w:val="0"/>
        <w:spacing w:line="420" w:lineRule="exact"/>
        <w:ind w:right="420"/>
        <w:rPr>
          <w:rFonts w:ascii="宋体" w:hAnsi="宋体" w:cs="宋体"/>
          <w:b/>
          <w:kern w:val="0"/>
          <w:szCs w:val="21"/>
        </w:rPr>
      </w:pPr>
    </w:p>
    <w:p>
      <w:pPr>
        <w:pStyle w:val="Subtitle"/>
        <w:numPr>
          <w:ilvl w:val="0"/>
          <w:numId w:val="2"/>
        </w:numPr>
        <w:spacing w:before="0" w:after="0" w:line="300" w:lineRule="auto"/>
        <w:jc w:val="both"/>
        <w:rPr>
          <w:color w:val="000000"/>
          <w:sz w:val="28"/>
          <w:szCs w:val="28"/>
        </w:rPr>
      </w:pPr>
      <w:r>
        <w:rPr>
          <w:rFonts w:cs="宋体" w:hint="eastAsia"/>
          <w:color w:val="000000"/>
          <w:sz w:val="28"/>
          <w:szCs w:val="28"/>
        </w:rPr>
        <w:t>重要须知</w:t>
      </w:r>
    </w:p>
    <w:p>
      <w:pPr>
        <w:pStyle w:val="Default"/>
        <w:numPr>
          <w:ilvl w:val="0"/>
          <w:numId w:val="3"/>
        </w:numPr>
        <w:tabs>
          <w:tab w:val="left" w:pos="0"/>
        </w:tabs>
        <w:adjustRightInd/>
        <w:spacing w:line="300" w:lineRule="auto"/>
        <w:rPr>
          <w:rFonts w:ascii="宋体"/>
          <w:sz w:val="21"/>
          <w:szCs w:val="21"/>
        </w:rPr>
      </w:pPr>
      <w:r>
        <w:rPr>
          <w:rFonts w:ascii="宋体" w:cs="宋体" w:hint="eastAsia"/>
          <w:sz w:val="21"/>
          <w:szCs w:val="21"/>
        </w:rPr>
        <w:t>本产品不等同于银行存款和预期收益型理财产品。</w:t>
      </w:r>
    </w:p>
    <w:p>
      <w:pPr>
        <w:pStyle w:val="Default"/>
        <w:numPr>
          <w:ilvl w:val="0"/>
          <w:numId w:val="3"/>
        </w:numPr>
        <w:tabs>
          <w:tab w:val="left" w:pos="0"/>
        </w:tabs>
        <w:adjustRightInd/>
        <w:spacing w:line="300" w:lineRule="auto"/>
        <w:rPr>
          <w:rFonts w:ascii="宋体"/>
          <w:sz w:val="21"/>
          <w:szCs w:val="21"/>
        </w:rPr>
      </w:pPr>
      <w:r>
        <w:rPr>
          <w:rFonts w:ascii="宋体" w:cs="宋体" w:hint="eastAsia"/>
          <w:sz w:val="21"/>
          <w:szCs w:val="21"/>
        </w:rPr>
        <w:t>本产品仅向依据中华人民共和国有关法律法规及本产品说明书规定可以购买本产品的投资者发售</w:t>
      </w:r>
      <w:r>
        <w:rPr>
          <w:rFonts w:ascii="宋体" w:cs="宋体"/>
          <w:sz w:val="21"/>
          <w:szCs w:val="21"/>
        </w:rPr>
        <w:t>。</w:t>
      </w:r>
    </w:p>
    <w:p>
      <w:pPr>
        <w:pStyle w:val="Default"/>
        <w:numPr>
          <w:ilvl w:val="0"/>
          <w:numId w:val="3"/>
        </w:numPr>
        <w:tabs>
          <w:tab w:val="left" w:pos="0"/>
        </w:tabs>
        <w:adjustRightInd/>
        <w:spacing w:line="300" w:lineRule="auto"/>
        <w:rPr>
          <w:rFonts w:ascii="宋体"/>
          <w:sz w:val="21"/>
          <w:szCs w:val="21"/>
        </w:rPr>
      </w:pPr>
      <w:r>
        <w:rPr>
          <w:rFonts w:ascii="宋体" w:cs="宋体" w:hint="eastAsia"/>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Default"/>
        <w:numPr>
          <w:ilvl w:val="0"/>
          <w:numId w:val="3"/>
        </w:numPr>
        <w:tabs>
          <w:tab w:val="left" w:pos="0"/>
        </w:tabs>
        <w:adjustRightInd/>
        <w:spacing w:line="300" w:lineRule="auto"/>
        <w:rPr>
          <w:rFonts w:ascii="宋体"/>
          <w:sz w:val="21"/>
          <w:szCs w:val="21"/>
        </w:rPr>
      </w:pPr>
      <w:r>
        <w:rPr>
          <w:rFonts w:ascii="宋体" w:cs="宋体" w:hint="eastAsia"/>
          <w:b/>
          <w:bCs/>
          <w:sz w:val="21"/>
          <w:szCs w:val="21"/>
        </w:rPr>
        <w:t>本产品是非保本净值型产品</w:t>
      </w:r>
      <w:r>
        <w:rPr>
          <w:rFonts w:ascii="宋体" w:cs="宋体" w:hint="eastAsia"/>
          <w:sz w:val="21"/>
          <w:szCs w:val="21"/>
        </w:rPr>
        <w:t>。</w:t>
      </w:r>
      <w:r>
        <w:rPr>
          <w:rFonts w:ascii="宋体" w:cs="宋体" w:hint="eastAsia"/>
          <w:b/>
          <w:sz w:val="21"/>
          <w:szCs w:val="21"/>
        </w:rPr>
        <w:t>管理人对本理财产品的本金和收益不提供保证承诺。</w:t>
      </w:r>
      <w:r>
        <w:rPr>
          <w:rFonts w:ascii="宋体" w:cs="宋体" w:hint="eastAsia"/>
          <w:sz w:val="21"/>
          <w:szCs w:val="21"/>
        </w:rPr>
        <w:t>您应充分认识投资风险，谨慎投资。本产品主要风险为理财本金及收益风险，在极端市场情况下，投资者将损失本金。请投资者基于自身的独立判断进行投资决策。</w:t>
      </w:r>
    </w:p>
    <w:p>
      <w:pPr>
        <w:pStyle w:val="Default"/>
        <w:numPr>
          <w:ilvl w:val="0"/>
          <w:numId w:val="3"/>
        </w:numPr>
        <w:tabs>
          <w:tab w:val="left" w:pos="0"/>
        </w:tabs>
        <w:adjustRightInd/>
        <w:spacing w:line="300" w:lineRule="auto"/>
        <w:rPr>
          <w:rFonts w:ascii="宋体"/>
          <w:sz w:val="21"/>
          <w:szCs w:val="21"/>
        </w:rPr>
      </w:pPr>
      <w:r>
        <w:rPr>
          <w:rFonts w:ascii="宋体" w:cs="宋体" w:hint="eastAsia"/>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ascii="宋体" w:hAnsi="宋体" w:cs="宋体" w:hint="eastAsia"/>
          <w:sz w:val="21"/>
          <w:szCs w:val="21"/>
        </w:rPr>
        <w:t>杭银理财幸福99丰裕固收理财计划风险揭示书</w:t>
      </w:r>
      <w:r>
        <w:rPr>
          <w:rFonts w:ascii="宋体" w:cs="宋体" w:hint="eastAsia"/>
          <w:sz w:val="21"/>
          <w:szCs w:val="21"/>
        </w:rPr>
        <w:t>》《投资者权益须知》，将共同构成投资者与管理人之间的理财计划交易合同。</w:t>
      </w:r>
    </w:p>
    <w:p>
      <w:pPr>
        <w:pStyle w:val="Default"/>
        <w:numPr>
          <w:ilvl w:val="0"/>
          <w:numId w:val="3"/>
        </w:numPr>
        <w:tabs>
          <w:tab w:val="left" w:pos="0"/>
        </w:tabs>
        <w:adjustRightInd/>
        <w:spacing w:line="300" w:lineRule="auto"/>
        <w:rPr>
          <w:rFonts w:ascii="宋体"/>
          <w:sz w:val="21"/>
          <w:szCs w:val="21"/>
        </w:rPr>
      </w:pPr>
      <w:r>
        <w:rPr>
          <w:rFonts w:ascii="宋体" w:cs="宋体" w:hint="eastAsia"/>
          <w:sz w:val="21"/>
          <w:szCs w:val="21"/>
        </w:rPr>
        <w:t>投资者在认购本产品后，应随时关注本产品的信息披露情况，及时获取相关信息。如对本产品有任何疑问、异议或意见，请联系管理人或销售机构。</w:t>
      </w:r>
    </w:p>
    <w:p>
      <w:pPr>
        <w:pStyle w:val="Default"/>
        <w:numPr>
          <w:ilvl w:val="0"/>
          <w:numId w:val="3"/>
        </w:numPr>
        <w:tabs>
          <w:tab w:val="left" w:pos="0"/>
        </w:tabs>
        <w:adjustRightInd/>
        <w:spacing w:line="300" w:lineRule="auto"/>
        <w:rPr>
          <w:rFonts w:ascii="宋体"/>
          <w:sz w:val="21"/>
          <w:szCs w:val="21"/>
        </w:rPr>
      </w:pPr>
      <w:r>
        <w:rPr>
          <w:rFonts w:ascii="宋体" w:cs="宋体" w:hint="eastAsia"/>
          <w:sz w:val="21"/>
          <w:szCs w:val="21"/>
        </w:rPr>
        <w:t>管理人有权依法对本产品说明书进行解释。</w:t>
      </w:r>
    </w:p>
    <w:p>
      <w:pPr>
        <w:pStyle w:val="Subtitle"/>
        <w:numPr>
          <w:ilvl w:val="0"/>
          <w:numId w:val="2"/>
        </w:numPr>
        <w:spacing w:before="0" w:after="0" w:line="300" w:lineRule="auto"/>
        <w:jc w:val="both"/>
        <w:rPr>
          <w:color w:val="000000"/>
          <w:sz w:val="28"/>
          <w:szCs w:val="28"/>
        </w:rPr>
      </w:pPr>
      <w:r>
        <w:rPr>
          <w:rFonts w:cs="宋体" w:hint="eastAsia"/>
          <w:color w:val="000000"/>
          <w:sz w:val="28"/>
          <w:szCs w:val="28"/>
        </w:rPr>
        <w:t>释义</w:t>
      </w:r>
    </w:p>
    <w:p>
      <w:pPr>
        <w:pStyle w:val="Default"/>
        <w:adjustRightInd/>
        <w:spacing w:line="300" w:lineRule="auto"/>
        <w:ind w:firstLine="420" w:firstLineChars="200"/>
        <w:rPr>
          <w:rFonts w:ascii="宋体"/>
          <w:sz w:val="21"/>
          <w:szCs w:val="21"/>
        </w:rPr>
      </w:pPr>
      <w:r>
        <w:rPr>
          <w:rFonts w:ascii="宋体" w:cs="宋体" w:hint="eastAsia"/>
          <w:sz w:val="21"/>
          <w:szCs w:val="21"/>
        </w:rPr>
        <w:t>本说明书中，除非另有明确说明，否则下列词语或简称具有如下含义：</w:t>
      </w:r>
    </w:p>
    <w:p>
      <w:pPr>
        <w:pStyle w:val="Default"/>
        <w:adjustRightInd/>
        <w:spacing w:line="300" w:lineRule="auto"/>
        <w:ind w:firstLine="420" w:firstLineChars="200"/>
        <w:rPr>
          <w:rFonts w:ascii="宋体"/>
          <w:sz w:val="21"/>
          <w:szCs w:val="21"/>
        </w:rPr>
      </w:pPr>
      <w:r>
        <w:rPr>
          <w:rFonts w:ascii="宋体" w:cs="宋体" w:hint="eastAsia"/>
          <w:sz w:val="21"/>
          <w:szCs w:val="21"/>
        </w:rPr>
        <w:t>产品/理财计划：指</w:t>
      </w:r>
      <w:r>
        <w:rPr>
          <w:rFonts w:ascii="宋体" w:hAnsi="宋体" w:cs="宋体" w:hint="eastAsia"/>
          <w:sz w:val="21"/>
          <w:szCs w:val="21"/>
        </w:rPr>
        <w:t>杭银理财幸福99丰裕固收22055期理财计划（教师节专属）</w:t>
      </w:r>
      <w:r>
        <w:rPr>
          <w:rFonts w:ascii="宋体" w:cs="宋体" w:hint="eastAsia"/>
          <w:sz w:val="21"/>
          <w:szCs w:val="21"/>
        </w:rPr>
        <w:t>。</w:t>
      </w:r>
    </w:p>
    <w:p>
      <w:pPr>
        <w:pStyle w:val="Default"/>
        <w:adjustRightInd/>
        <w:spacing w:line="300" w:lineRule="auto"/>
        <w:ind w:firstLine="420" w:firstLineChars="200"/>
        <w:rPr>
          <w:rFonts w:ascii="宋体"/>
          <w:sz w:val="21"/>
          <w:szCs w:val="21"/>
        </w:rPr>
      </w:pPr>
      <w:r>
        <w:rPr>
          <w:rFonts w:ascii="宋体" w:cs="宋体" w:hint="eastAsia"/>
          <w:sz w:val="21"/>
          <w:szCs w:val="21"/>
        </w:rPr>
        <w:t>产品管理人：指杭银理财有限责任公司。</w:t>
      </w:r>
    </w:p>
    <w:p>
      <w:pPr>
        <w:pStyle w:val="Default"/>
        <w:adjustRightInd/>
        <w:spacing w:line="300" w:lineRule="auto"/>
        <w:ind w:firstLine="420" w:firstLineChars="200"/>
        <w:rPr>
          <w:rFonts w:ascii="宋体" w:cs="宋体"/>
          <w:sz w:val="21"/>
          <w:szCs w:val="21"/>
        </w:rPr>
      </w:pPr>
      <w:r>
        <w:rPr>
          <w:rFonts w:ascii="宋体" w:cs="宋体" w:hint="eastAsia"/>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Hyperlink"/>
          <w:rFonts w:ascii="宋体" w:cs="宋体"/>
          <w:sz w:val="21"/>
          <w:szCs w:val="21"/>
        </w:rPr>
        <w:t>www.hzbank.com.cn</w:t>
      </w:r>
      <w:r>
        <w:rPr>
          <w:rFonts w:ascii="宋体" w:cs="宋体"/>
          <w:sz w:val="21"/>
          <w:szCs w:val="21"/>
        </w:rPr>
        <w:fldChar w:fldCharType="end"/>
      </w:r>
      <w:r>
        <w:rPr>
          <w:rFonts w:ascii="宋体" w:cs="宋体" w:hint="eastAsia"/>
          <w:sz w:val="21"/>
          <w:szCs w:val="21"/>
        </w:rPr>
        <w:t>，客服热线为95398。</w:t>
      </w:r>
    </w:p>
    <w:p>
      <w:pPr>
        <w:pStyle w:val="Default"/>
        <w:adjustRightInd/>
        <w:spacing w:line="300" w:lineRule="auto"/>
        <w:ind w:firstLine="420" w:firstLineChars="200"/>
        <w:rPr>
          <w:rFonts w:ascii="宋体"/>
          <w:sz w:val="21"/>
          <w:szCs w:val="21"/>
        </w:rPr>
      </w:pPr>
      <w:r>
        <w:rPr>
          <w:rFonts w:ascii="宋体" w:cs="宋体" w:hint="eastAsia"/>
          <w:sz w:val="21"/>
          <w:szCs w:val="21"/>
        </w:rPr>
        <w:t>产品托管人：指杭州银行股份有限公司。</w:t>
      </w:r>
    </w:p>
    <w:p>
      <w:pPr>
        <w:pStyle w:val="Default"/>
        <w:adjustRightInd/>
        <w:spacing w:line="300" w:lineRule="auto"/>
        <w:ind w:firstLine="420" w:firstLineChars="200"/>
        <w:rPr>
          <w:rFonts w:ascii="宋体" w:cs="宋体"/>
          <w:sz w:val="21"/>
          <w:szCs w:val="21"/>
        </w:rPr>
      </w:pPr>
      <w:r>
        <w:rPr>
          <w:rFonts w:ascii="宋体" w:cs="宋体" w:hint="eastAsia"/>
          <w:sz w:val="21"/>
          <w:szCs w:val="21"/>
        </w:rPr>
        <w:t>产品认购期：指本产品接受投资者认购本理财产品的起止期限。</w:t>
      </w:r>
    </w:p>
    <w:p>
      <w:pPr>
        <w:pStyle w:val="Default"/>
        <w:adjustRightInd/>
        <w:spacing w:line="300" w:lineRule="auto"/>
        <w:ind w:firstLine="420" w:firstLineChars="200"/>
        <w:rPr>
          <w:rFonts w:ascii="宋体" w:cs="宋体"/>
          <w:sz w:val="21"/>
          <w:szCs w:val="21"/>
        </w:rPr>
      </w:pPr>
      <w:r>
        <w:rPr>
          <w:rFonts w:ascii="宋体" w:cs="宋体" w:hint="eastAsia"/>
          <w:sz w:val="21"/>
          <w:szCs w:val="21"/>
        </w:rPr>
        <w:t>产品到期日：指理财产品终止运作的日期。</w:t>
      </w:r>
    </w:p>
    <w:p>
      <w:pPr>
        <w:pStyle w:val="Default"/>
        <w:adjustRightInd/>
        <w:spacing w:line="300" w:lineRule="auto"/>
        <w:ind w:firstLine="420" w:firstLineChars="200"/>
        <w:rPr>
          <w:rFonts w:ascii="宋体" w:cs="宋体"/>
          <w:sz w:val="21"/>
          <w:szCs w:val="21"/>
        </w:rPr>
      </w:pPr>
      <w:r>
        <w:rPr>
          <w:rFonts w:ascii="宋体" w:cs="宋体" w:hint="eastAsia"/>
          <w:sz w:val="21"/>
          <w:szCs w:val="21"/>
        </w:rPr>
        <w:t>提前终止权：指在本理财产品存续期内，管理人或投资人单方面决定全部提前终止本理财产品的权利。</w:t>
      </w:r>
    </w:p>
    <w:p>
      <w:pPr>
        <w:pStyle w:val="Default"/>
        <w:adjustRightInd/>
        <w:spacing w:line="300" w:lineRule="auto"/>
        <w:ind w:firstLine="420" w:firstLineChars="200"/>
        <w:rPr>
          <w:rFonts w:ascii="宋体" w:cs="宋体"/>
          <w:sz w:val="21"/>
          <w:szCs w:val="21"/>
        </w:rPr>
      </w:pPr>
      <w:r>
        <w:rPr>
          <w:rFonts w:ascii="宋体" w:cs="宋体" w:hint="eastAsia"/>
          <w:sz w:val="21"/>
          <w:szCs w:val="21"/>
        </w:rPr>
        <w:t>提前终止日：指管理人行使提前终止权的日期，即本理财产品被提前终止、开始停止计算收益的日期。</w:t>
      </w:r>
    </w:p>
    <w:p>
      <w:pPr>
        <w:pStyle w:val="Default"/>
        <w:adjustRightInd/>
        <w:spacing w:line="300" w:lineRule="auto"/>
        <w:ind w:firstLine="420" w:firstLineChars="200"/>
        <w:rPr>
          <w:rFonts w:ascii="宋体" w:cs="宋体"/>
          <w:sz w:val="21"/>
          <w:szCs w:val="21"/>
        </w:rPr>
      </w:pPr>
      <w:r>
        <w:rPr>
          <w:rFonts w:ascii="宋体" w:cs="宋体" w:hint="eastAsia"/>
          <w:sz w:val="21"/>
          <w:szCs w:val="21"/>
        </w:rPr>
        <w:t>产品资金到账日：是指理财产品终止运作后，资金返还至投资人账户的日期。</w:t>
      </w:r>
    </w:p>
    <w:p>
      <w:pPr>
        <w:pStyle w:val="Default"/>
        <w:adjustRightInd/>
        <w:spacing w:line="300" w:lineRule="auto"/>
        <w:ind w:firstLine="420" w:firstLineChars="200"/>
        <w:rPr>
          <w:rFonts w:ascii="宋体" w:cs="宋体"/>
          <w:sz w:val="21"/>
          <w:szCs w:val="21"/>
        </w:rPr>
      </w:pPr>
      <w:r>
        <w:rPr>
          <w:rFonts w:ascii="宋体" w:cs="宋体" w:hint="eastAsia"/>
          <w:sz w:val="21"/>
          <w:szCs w:val="21"/>
        </w:rPr>
        <w:t>工作日：指除国家法定节假日和休息日外的日期。</w:t>
      </w:r>
    </w:p>
    <w:p>
      <w:pPr>
        <w:pStyle w:val="Default"/>
        <w:adjustRightInd/>
        <w:spacing w:line="300" w:lineRule="auto"/>
        <w:ind w:firstLine="420" w:firstLineChars="200"/>
        <w:rPr>
          <w:rFonts w:ascii="宋体" w:cs="宋体"/>
          <w:sz w:val="21"/>
          <w:szCs w:val="21"/>
        </w:rPr>
      </w:pPr>
      <w:r>
        <w:rPr>
          <w:rFonts w:ascii="宋体" w:cs="宋体" w:hint="eastAsia"/>
          <w:sz w:val="21"/>
          <w:szCs w:val="21"/>
        </w:rPr>
        <w:t>交易日：指上海证券交易所、深圳证券交易所的正常交易日。</w:t>
      </w:r>
    </w:p>
    <w:p>
      <w:pPr>
        <w:pStyle w:val="Default"/>
        <w:adjustRightInd/>
        <w:spacing w:line="300" w:lineRule="auto"/>
        <w:ind w:firstLine="420" w:firstLineChars="200"/>
        <w:rPr>
          <w:rFonts w:ascii="宋体" w:cs="宋体"/>
          <w:sz w:val="21"/>
          <w:szCs w:val="21"/>
        </w:rPr>
      </w:pPr>
      <w:r>
        <w:rPr>
          <w:rFonts w:ascii="宋体" w:cs="宋体" w:hint="eastAsia"/>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Subtitle"/>
        <w:numPr>
          <w:ilvl w:val="0"/>
          <w:numId w:val="2"/>
        </w:numPr>
        <w:spacing w:before="0" w:after="0" w:line="520" w:lineRule="exact"/>
        <w:jc w:val="both"/>
        <w:rPr>
          <w:color w:val="000000"/>
          <w:sz w:val="28"/>
          <w:szCs w:val="28"/>
        </w:rPr>
      </w:pPr>
      <w:r>
        <w:rPr>
          <w:rFonts w:cs="宋体" w:hint="eastAsia"/>
          <w:color w:val="000000"/>
          <w:sz w:val="28"/>
          <w:szCs w:val="28"/>
        </w:rPr>
        <w:t>产品风险等级：</w:t>
      </w:r>
      <w:r>
        <w:rPr>
          <w:color w:val="000000"/>
          <w:sz w:val="28"/>
          <w:szCs w:val="28"/>
        </w:rPr>
        <w:t>R</w:t>
      </w:r>
      <w:r>
        <w:rPr>
          <w:rFonts w:hint="eastAsia"/>
          <w:color w:val="000000"/>
          <w:sz w:val="28"/>
          <w:szCs w:val="28"/>
        </w:rPr>
        <w:t>2</w:t>
      </w:r>
    </w:p>
    <w:p>
      <w:pPr>
        <w:pStyle w:val="Default"/>
        <w:spacing w:line="360" w:lineRule="auto"/>
        <w:rPr>
          <w:rFonts w:ascii="宋体" w:eastAsia="Times New Roman"/>
          <w:sz w:val="22"/>
          <w:szCs w:val="22"/>
        </w:rPr>
      </w:pPr>
      <w:r>
        <w:rPr>
          <w:b/>
          <w:bCs/>
          <w:sz w:val="18"/>
          <w:szCs w:val="18"/>
        </w:rPr>
        <w:pict>
          <v:group id="Group 13" o:spid="_x0000_i1025" style="height:210.6pt;mso-position-horizontal-relative:char;mso-position-vertical-relative:line;width:459pt" coordorigin="0,0" coordsize="6929,3159">
            <o:lock v:ext="edit" aspectratio="f"/>
            <v:rect id="Picture 14" o:spid="_x0000_s1026" style="height:3159;mso-wrap-style:square;position:absolute;width:6929" filled="f" stroked="f">
              <v:fill o:detectmouseclick="t"/>
              <v:stroke linestyle="single"/>
              <o:lock v:ext="edit" aspectratio="t" text="t"/>
            </v:rect>
            <v:line id="Line 15" o:spid="_x0000_s1027" style="mso-wrap-style:square;position:absolute" from="544,2691" to="5570,2692" stroked="t">
              <v:fill o:detectmouseclick="t"/>
              <v:stroke linestyle="single" endarrow="block"/>
              <o:lock v:ext="edit" aspectratio="f"/>
            </v:line>
            <v:line id="Line 16" o:spid="_x0000_s1028" style="flip:y;mso-wrap-style:square;position:absolute" from="815,234" to="815,2808" stroked="t">
              <v:fill o:detectmouseclick="t"/>
              <v:stroke linestyle="single" endarrow="block"/>
              <o:lock v:ext="edit" aspectratio="f"/>
            </v:line>
            <v:rect id="Rectangle 17" o:spid="_x0000_s1029" style="height:351;left:951;mso-wrap-style:square;position:absolute;top:2223;width:544" filled="t" fillcolor="white" stroked="t">
              <v:stroke linestyle="single"/>
              <o:lock v:ext="edit" aspectratio="f"/>
              <v:textbox>
                <w:txbxContent>
                  <w:p>
                    <w:pPr>
                      <w:ind w:firstLine="103" w:firstLineChars="49"/>
                      <w:rPr>
                        <w:b/>
                        <w:bCs/>
                      </w:rPr>
                    </w:pPr>
                    <w:r>
                      <w:rPr>
                        <w:b/>
                        <w:bCs/>
                      </w:rPr>
                      <w:t>R1</w:t>
                    </w:r>
                  </w:p>
                </w:txbxContent>
              </v:textbox>
            </v:rect>
            <v:rect id="Rectangle 18" o:spid="_x0000_s1030" style="height:351;left:1495;mso-wrap-style:square;position:absolute;top:1872;width:543" filled="t" fillcolor="yellow" stroked="t">
              <v:stroke linestyle="single"/>
              <o:lock v:ext="edit" aspectratio="f"/>
              <v:textbox>
                <w:txbxContent>
                  <w:p>
                    <w:pPr>
                      <w:ind w:firstLine="103" w:firstLineChars="49"/>
                      <w:rPr>
                        <w:b/>
                        <w:bCs/>
                      </w:rPr>
                    </w:pPr>
                    <w:r>
                      <w:rPr>
                        <w:b/>
                        <w:bCs/>
                      </w:rPr>
                      <w:t>R2</w:t>
                    </w:r>
                  </w:p>
                </w:txbxContent>
              </v:textbox>
            </v:rect>
            <v:rect id="Rectangle 19" o:spid="_x0000_s1031" style="height:351;left:2038;mso-wrap-style:square;position:absolute;top:1521;width:543" filled="t" fillcolor="white" stroked="t">
              <v:stroke linestyle="single"/>
              <o:lock v:ext="edit" aspectratio="f"/>
              <v:textbox>
                <w:txbxContent>
                  <w:p>
                    <w:pPr>
                      <w:ind w:firstLine="103" w:firstLineChars="49"/>
                      <w:rPr>
                        <w:b/>
                        <w:bCs/>
                      </w:rPr>
                    </w:pPr>
                    <w:r>
                      <w:rPr>
                        <w:b/>
                        <w:bCs/>
                      </w:rPr>
                      <w:t>R3</w:t>
                    </w:r>
                  </w:p>
                </w:txbxContent>
              </v:textbox>
            </v:rect>
            <v:rect id="Rectangle 20" o:spid="_x0000_s1032" style="height:351;left:2581;mso-wrap-style:square;position:absolute;top:1170;width:544" filled="f" stroked="t">
              <v:fill o:detectmouseclick="t"/>
              <v:stroke linestyle="single"/>
              <o:lock v:ext="edit" aspectratio="f"/>
              <v:textbox>
                <w:txbxContent>
                  <w:p>
                    <w:pPr>
                      <w:ind w:firstLine="103" w:firstLineChars="49"/>
                      <w:rPr>
                        <w:b/>
                        <w:bCs/>
                      </w:rPr>
                    </w:pPr>
                    <w:r>
                      <w:rPr>
                        <w:b/>
                        <w:bCs/>
                      </w:rPr>
                      <w:t>R4</w:t>
                    </w:r>
                  </w:p>
                </w:txbxContent>
              </v:textbox>
            </v:rect>
            <v:rect id="Rectangle 21" o:spid="_x0000_s1033" style="height:351;left:3125;mso-wrap-style:square;position:absolute;top:819;width:543" filled="f" stroked="t">
              <v:fill o:detectmouseclick="t"/>
              <v:stroke linestyle="single"/>
              <o:lock v:ext="edit" aspectratio="f"/>
              <v:textbox>
                <w:txbxContent>
                  <w:p>
                    <w:pPr>
                      <w:ind w:firstLine="103" w:firstLineChars="49"/>
                      <w:rPr>
                        <w:b/>
                        <w:bCs/>
                      </w:rPr>
                    </w:pPr>
                    <w:r>
                      <w:rPr>
                        <w:b/>
                        <w:bCs/>
                      </w:rPr>
                      <w:t>R5</w:t>
                    </w:r>
                  </w:p>
                </w:txbxContent>
              </v:textbox>
            </v:rect>
            <v:rect id="Rectangle 22" o:spid="_x0000_s1034" style="height:351;left:1630;mso-wrap-style:square;position:absolute;top:2808;width:3940" filled="t" fillcolor="white" stroked="f">
              <v:stroke linestyle="single"/>
              <o:lock v:ext="edit" aspectratio="f"/>
              <v:textbox>
                <w:txbxContent>
                  <w:p>
                    <w:pPr>
                      <w:jc w:val="center"/>
                      <w:rPr>
                        <w:sz w:val="18"/>
                        <w:szCs w:val="18"/>
                      </w:rPr>
                    </w:pPr>
                    <w:r>
                      <w:rPr>
                        <w:rFonts w:cs="宋体" w:hint="eastAsia"/>
                        <w:sz w:val="18"/>
                        <w:szCs w:val="18"/>
                      </w:rPr>
                      <w:t>风险程度</w:t>
                    </w:r>
                  </w:p>
                </w:txbxContent>
              </v:textbox>
            </v:rect>
            <w10:wrap type="none"/>
            <w10:anchorlock/>
          </v:group>
        </w:pict>
      </w:r>
    </w:p>
    <w:p>
      <w:pPr>
        <w:pStyle w:val="Default"/>
        <w:adjustRightInd/>
        <w:spacing w:line="300" w:lineRule="auto"/>
        <w:ind w:firstLine="420" w:firstLineChars="200"/>
        <w:rPr>
          <w:rFonts w:ascii="宋体"/>
          <w:sz w:val="21"/>
          <w:szCs w:val="21"/>
        </w:rPr>
      </w:pPr>
      <w:r>
        <w:rPr>
          <w:rFonts w:ascii="宋体" w:cs="宋体" w:hint="eastAsia"/>
          <w:sz w:val="21"/>
          <w:szCs w:val="21"/>
        </w:rPr>
        <w:t>产品风险评级由管理人根据产品投资组合、投资运作情况、同类产品过往业绩和风险水平等因素合理确定。根据管理人内部风险评级标准，</w:t>
      </w:r>
      <w:r>
        <w:rPr>
          <w:rFonts w:ascii="宋体" w:cs="宋体" w:hint="eastAsia"/>
          <w:b/>
          <w:sz w:val="21"/>
          <w:szCs w:val="21"/>
        </w:rPr>
        <w:t>本产品的风险等级为〖R2〗，〖中低〗风险。</w:t>
      </w:r>
      <w:r>
        <w:rPr>
          <w:rFonts w:ascii="宋体" w:cs="宋体" w:hint="eastAsia"/>
          <w:sz w:val="21"/>
          <w:szCs w:val="21"/>
        </w:rPr>
        <w:t>该评级仅是管理人内部测评结果，仅供投资者参考，不具有任何法律约束力。</w:t>
      </w:r>
    </w:p>
    <w:p>
      <w:pPr>
        <w:pStyle w:val="Subtitle"/>
        <w:numPr>
          <w:ilvl w:val="0"/>
          <w:numId w:val="2"/>
        </w:numPr>
        <w:spacing w:before="0" w:after="0" w:line="300" w:lineRule="auto"/>
        <w:jc w:val="both"/>
        <w:rPr>
          <w:rFonts w:cs="宋体"/>
          <w:color w:val="000000"/>
          <w:sz w:val="28"/>
          <w:szCs w:val="28"/>
        </w:rPr>
      </w:pPr>
      <w:r>
        <w:rPr>
          <w:rFonts w:cs="宋体" w:hint="eastAsia"/>
          <w:color w:val="000000"/>
          <w:sz w:val="28"/>
          <w:szCs w:val="28"/>
        </w:rPr>
        <w:t>产品概述</w:t>
      </w:r>
    </w:p>
    <w:tbl>
      <w:tblPr>
        <w:tblStyle w:val="TableNorma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tblPr>
      <w:tblGrid>
        <w:gridCol w:w="1845"/>
        <w:gridCol w:w="7542"/>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ascii="宋体" w:hAnsi="宋体" w:cs="宋体" w:hint="eastAsia"/>
                <w:szCs w:val="21"/>
              </w:rPr>
              <w:t>杭银理财幸福99</w:t>
            </w:r>
            <w:r>
              <w:rPr>
                <w:rFonts w:ascii="宋体" w:hAnsi="宋体" w:hint="eastAsia"/>
              </w:rPr>
              <w:t>丰裕固收22055期</w:t>
            </w:r>
            <w:r>
              <w:rPr>
                <w:rFonts w:ascii="宋体" w:hAnsi="宋体" w:cs="宋体" w:hint="eastAsia"/>
                <w:szCs w:val="21"/>
              </w:rPr>
              <w:t>理财计划</w:t>
            </w:r>
            <w:r>
              <w:rPr>
                <w:rFonts w:ascii="宋体" w:hAnsi="宋体" w:hint="eastAsia"/>
              </w:rPr>
              <w:t>（教师节专属）</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szCs w:val="21"/>
              </w:rPr>
            </w:pPr>
            <w:r>
              <w:rPr>
                <w:rFonts w:ascii="宋体" w:hAnsi="宋体" w:hint="eastAsia"/>
                <w:szCs w:val="21"/>
              </w:rPr>
              <w:t>产品编号</w:t>
            </w:r>
          </w:p>
        </w:tc>
        <w:tc>
          <w:tcPr>
            <w:tcW w:w="7542" w:type="dxa"/>
            <w:vAlign w:val="center"/>
          </w:tcPr>
          <w:p>
            <w:pPr>
              <w:widowControl/>
              <w:spacing w:line="300" w:lineRule="auto"/>
              <w:contextualSpacing/>
              <w:rPr>
                <w:rFonts w:ascii="宋体" w:hAnsi="宋体" w:hint="eastAsia"/>
                <w:color w:val="000000"/>
                <w:szCs w:val="21"/>
              </w:rPr>
            </w:pPr>
            <w:r>
              <w:rPr>
                <w:rFonts w:ascii="宋体" w:hAnsi="宋体" w:hint="eastAsia"/>
                <w:color w:val="000000"/>
                <w:szCs w:val="21"/>
              </w:rPr>
              <w:t>FYG22055</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ascii="宋体" w:hAnsi="宋体" w:hint="eastAsia"/>
                <w:color w:val="000000"/>
                <w:szCs w:val="21"/>
              </w:rPr>
              <w:t>该产品在全国银行业理财信息登记系统的登记编码是〖</w:t>
            </w:r>
            <w:r>
              <w:t>Z7002222000078</w:t>
            </w:r>
            <w:r>
              <w:rPr>
                <w:rFonts w:ascii="宋体" w:hAnsi="宋体" w:hint="eastAsia"/>
                <w:color w:val="000000"/>
                <w:szCs w:val="21"/>
              </w:rPr>
              <w:t>〗，投资者可依据该编码在</w:t>
            </w:r>
            <w:r>
              <w:rPr>
                <w:rFonts w:ascii="宋体" w:hAnsi="宋体"/>
                <w:color w:val="000000"/>
                <w:szCs w:val="21"/>
              </w:rPr>
              <w:t>“</w:t>
            </w:r>
            <w:r>
              <w:rPr>
                <w:rFonts w:ascii="宋体" w:hAnsi="宋体" w:hint="eastAsia"/>
                <w:color w:val="000000"/>
                <w:szCs w:val="21"/>
              </w:rPr>
              <w:t>中国理财网（</w:t>
            </w:r>
            <w:r>
              <w:rPr>
                <w:rFonts w:ascii="宋体" w:hAnsi="宋体"/>
                <w:color w:val="000000"/>
                <w:szCs w:val="21"/>
              </w:rPr>
              <w:t>www.chinawealth.com.cn</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查询该产品信息。</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发行对象</w:t>
            </w:r>
          </w:p>
        </w:tc>
        <w:tc>
          <w:tcPr>
            <w:tcW w:w="7542" w:type="dxa"/>
            <w:vAlign w:val="center"/>
          </w:tcPr>
          <w:p>
            <w:pPr>
              <w:widowControl/>
              <w:spacing w:line="300" w:lineRule="auto"/>
              <w:contextualSpacing/>
              <w:rPr>
                <w:rFonts w:ascii="宋体" w:hAnsi="宋体" w:hint="eastAsia"/>
                <w:b/>
                <w:color w:val="000000"/>
                <w:szCs w:val="21"/>
              </w:rPr>
            </w:pPr>
            <w:r>
              <w:rPr>
                <w:rFonts w:ascii="宋体" w:hAnsi="宋体" w:hint="eastAsia"/>
                <w:color w:val="000000"/>
                <w:szCs w:val="21"/>
              </w:rPr>
              <w:t>本理财产品适合</w:t>
            </w:r>
            <w:r>
              <w:rPr>
                <w:rFonts w:ascii="宋体" w:cs="宋体" w:hint="eastAsia"/>
                <w:b/>
                <w:color w:val="000000"/>
                <w:szCs w:val="21"/>
              </w:rPr>
              <w:t>机构投资者以及</w:t>
            </w:r>
            <w:r>
              <w:rPr>
                <w:rFonts w:ascii="宋体" w:hAnsi="宋体" w:cs="宋体" w:hint="eastAsia"/>
                <w:szCs w:val="21"/>
              </w:rPr>
              <w:t>〖稳健型、平衡型、成长型、进取型〗</w:t>
            </w:r>
            <w:r>
              <w:rPr>
                <w:rFonts w:ascii="宋体" w:hAnsi="宋体" w:hint="eastAsia"/>
                <w:b/>
                <w:color w:val="000000"/>
                <w:szCs w:val="21"/>
              </w:rPr>
              <w:t>的个人投资者。</w:t>
            </w:r>
          </w:p>
          <w:p>
            <w:pPr>
              <w:widowControl/>
              <w:spacing w:line="300" w:lineRule="auto"/>
              <w:contextualSpacing/>
              <w:rPr>
                <w:rFonts w:ascii="宋体" w:hAnsi="宋体" w:hint="eastAsia"/>
                <w:color w:val="000000"/>
                <w:szCs w:val="21"/>
              </w:rPr>
            </w:pPr>
            <w:r>
              <w:rPr>
                <w:rFonts w:ascii="宋体" w:hAnsi="宋体" w:hint="eastAsia"/>
                <w:color w:val="000000"/>
                <w:szCs w:val="21"/>
              </w:rPr>
              <w:t>A份额（销售代码【FYG22055A】</w:t>
            </w:r>
            <w:r>
              <w:rPr>
                <w:rFonts w:ascii="宋体" w:hAnsi="宋体"/>
                <w:color w:val="000000"/>
                <w:szCs w:val="21"/>
              </w:rPr>
              <w:t>）</w:t>
            </w:r>
            <w:r>
              <w:rPr>
                <w:rFonts w:ascii="宋体" w:hAnsi="宋体" w:hint="eastAsia"/>
                <w:color w:val="000000"/>
                <w:szCs w:val="21"/>
              </w:rPr>
              <w:t>：</w:t>
            </w:r>
            <w:r>
              <w:rPr>
                <w:rFonts w:ascii="宋体" w:hAnsi="宋体"/>
                <w:color w:val="000000"/>
                <w:szCs w:val="21"/>
              </w:rPr>
              <w:t>普通</w:t>
            </w:r>
            <w:r>
              <w:rPr>
                <w:rFonts w:ascii="宋体" w:hAnsi="宋体" w:hint="eastAsia"/>
                <w:color w:val="000000"/>
                <w:szCs w:val="21"/>
              </w:rPr>
              <w:t>个人投资者和机构客户。</w:t>
            </w:r>
          </w:p>
          <w:p>
            <w:pPr>
              <w:widowControl/>
              <w:spacing w:line="300" w:lineRule="auto"/>
              <w:contextualSpacing/>
              <w:rPr>
                <w:rFonts w:ascii="宋体" w:hAnsi="宋体" w:hint="eastAsia"/>
                <w:color w:val="000000"/>
                <w:szCs w:val="21"/>
              </w:rPr>
            </w:pPr>
            <w:r>
              <w:rPr>
                <w:rFonts w:ascii="宋体" w:hAnsi="宋体" w:hint="eastAsia"/>
                <w:color w:val="000000"/>
                <w:szCs w:val="21"/>
              </w:rPr>
              <w:t>B份额（销售代码【FYG22055B】</w:t>
            </w:r>
            <w:r>
              <w:rPr>
                <w:rFonts w:ascii="宋体" w:hAnsi="宋体"/>
                <w:color w:val="000000"/>
                <w:szCs w:val="21"/>
              </w:rPr>
              <w:t>）</w:t>
            </w:r>
            <w:r>
              <w:rPr>
                <w:rFonts w:ascii="宋体" w:hAnsi="宋体" w:hint="eastAsia"/>
                <w:color w:val="000000"/>
                <w:szCs w:val="21"/>
              </w:rPr>
              <w:t>：个人投资者和机构客户新客及特邀专属。</w:t>
            </w:r>
          </w:p>
          <w:p>
            <w:pPr>
              <w:widowControl/>
              <w:spacing w:line="300" w:lineRule="auto"/>
              <w:contextualSpacing/>
              <w:rPr>
                <w:rFonts w:ascii="宋体" w:hAnsi="宋体" w:cs="宋体" w:hint="eastAsia"/>
                <w:color w:val="000000"/>
                <w:szCs w:val="21"/>
              </w:rPr>
            </w:pPr>
            <w:r>
              <w:rPr>
                <w:rFonts w:ascii="宋体" w:hAnsi="宋体" w:hint="eastAsia"/>
                <w:color w:val="000000"/>
                <w:szCs w:val="21"/>
              </w:rPr>
              <w:t>C份额（销售代码【FYG22055C】）：部分代销客户</w:t>
            </w:r>
            <w:r>
              <w:rPr>
                <w:rFonts w:ascii="宋体" w:hAnsi="宋体" w:cs="宋体" w:hint="eastAsia"/>
                <w:color w:val="000000"/>
                <w:szCs w:val="21"/>
              </w:rPr>
              <w:t>。</w:t>
            </w:r>
          </w:p>
          <w:p>
            <w:pPr>
              <w:widowControl/>
              <w:spacing w:line="300" w:lineRule="auto"/>
              <w:contextualSpacing/>
              <w:rPr>
                <w:rFonts w:ascii="宋体" w:hAnsi="宋体" w:cs="宋体" w:hint="eastAsia"/>
                <w:color w:val="000000"/>
                <w:szCs w:val="21"/>
              </w:rPr>
            </w:pPr>
            <w:r>
              <w:rPr>
                <w:rFonts w:ascii="宋体" w:hAnsi="宋体" w:hint="eastAsia"/>
                <w:color w:val="000000"/>
                <w:szCs w:val="21"/>
              </w:rPr>
              <w:t>D份额（销售代码【FYG22055D】）：杭银理财特邀客户及部分代销客户</w:t>
            </w:r>
            <w:r>
              <w:rPr>
                <w:rFonts w:ascii="宋体" w:hAnsi="宋体" w:cs="宋体" w:hint="eastAsia"/>
                <w:color w:val="000000"/>
                <w:szCs w:val="21"/>
              </w:rPr>
              <w:t>。</w:t>
            </w:r>
          </w:p>
          <w:p>
            <w:pPr>
              <w:widowControl/>
              <w:spacing w:line="300" w:lineRule="auto"/>
              <w:contextualSpacing/>
              <w:rPr>
                <w:rFonts w:ascii="宋体" w:hAnsi="宋体" w:cs="宋体" w:hint="eastAsia"/>
                <w:color w:val="000000"/>
                <w:szCs w:val="21"/>
              </w:rPr>
            </w:pPr>
            <w:r>
              <w:rPr>
                <w:rFonts w:ascii="宋体" w:hAnsi="宋体" w:hint="eastAsia"/>
                <w:color w:val="000000"/>
                <w:szCs w:val="21"/>
              </w:rPr>
              <w:t>E份额（销售代码【FYG22055E】）：部分代销客户</w:t>
            </w:r>
            <w:r>
              <w:rPr>
                <w:rFonts w:ascii="宋体" w:hAnsi="宋体" w:cs="宋体" w:hint="eastAsia"/>
                <w:color w:val="000000"/>
                <w:szCs w:val="21"/>
              </w:rPr>
              <w:t>。</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ascii="宋体" w:hAnsi="宋体" w:cs="宋体" w:hint="eastAsia"/>
                <w:szCs w:val="21"/>
              </w:rPr>
              <w:t>〖公募〗</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ascii="宋体" w:hAnsi="宋体" w:cs="宋体" w:hint="eastAsia"/>
                <w:szCs w:val="21"/>
              </w:rPr>
              <w:t>封闭式</w:t>
            </w:r>
            <w:r>
              <w:rPr>
                <w:rFonts w:ascii="宋体" w:hAnsi="宋体" w:hint="eastAsia"/>
                <w:color w:val="000000"/>
                <w:szCs w:val="21"/>
              </w:rPr>
              <w:t>净值型</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ascii="宋体" w:hAnsi="宋体" w:cs="宋体" w:hint="eastAsia"/>
                <w:szCs w:val="21"/>
              </w:rPr>
              <w:t>〖固定收益〗</w:t>
            </w:r>
            <w:r>
              <w:rPr>
                <w:rFonts w:ascii="宋体" w:hAnsi="宋体" w:hint="eastAsia"/>
                <w:color w:val="000000"/>
                <w:szCs w:val="21"/>
              </w:rPr>
              <w:t>类</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ascii="宋体" w:hAnsi="宋体" w:hint="eastAsia"/>
                <w:color w:val="000000"/>
                <w:szCs w:val="21"/>
              </w:rPr>
              <w:t>全国</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ascii="宋体" w:hAnsi="宋体" w:hint="eastAsia"/>
                <w:color w:val="000000"/>
                <w:szCs w:val="21"/>
              </w:rPr>
              <w:t>可通过销售机构的网上银行、手机银行等渠道购买。</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ascii="宋体" w:hAnsi="宋体" w:hint="eastAsia"/>
                <w:color w:val="000000"/>
                <w:szCs w:val="21"/>
              </w:rPr>
              <w:t>人民币</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发行规模上限</w:t>
            </w:r>
          </w:p>
        </w:tc>
        <w:tc>
          <w:tcPr>
            <w:tcW w:w="7542" w:type="dxa"/>
            <w:vAlign w:val="center"/>
          </w:tcPr>
          <w:p>
            <w:pPr>
              <w:widowControl/>
              <w:spacing w:line="300" w:lineRule="auto"/>
              <w:contextualSpacing/>
              <w:rPr>
                <w:rFonts w:ascii="宋体" w:hAnsi="宋体" w:hint="eastAsia"/>
                <w:color w:val="000000"/>
                <w:szCs w:val="21"/>
              </w:rPr>
            </w:pPr>
            <w:r>
              <w:rPr>
                <w:rFonts w:ascii="宋体" w:hAnsi="宋体" w:hint="eastAsia"/>
                <w:color w:val="000000"/>
                <w:szCs w:val="21"/>
              </w:rPr>
              <w:t>A份额：发行规模上限〖10〗亿元。</w:t>
            </w:r>
          </w:p>
          <w:p>
            <w:pPr>
              <w:widowControl/>
              <w:spacing w:line="300" w:lineRule="auto"/>
              <w:contextualSpacing/>
              <w:rPr>
                <w:rFonts w:ascii="宋体" w:hAnsi="宋体" w:hint="eastAsia"/>
                <w:color w:val="000000"/>
                <w:szCs w:val="21"/>
              </w:rPr>
            </w:pPr>
            <w:r>
              <w:rPr>
                <w:rFonts w:ascii="宋体" w:hAnsi="宋体" w:hint="eastAsia"/>
                <w:color w:val="000000"/>
                <w:szCs w:val="21"/>
              </w:rPr>
              <w:t>B份额：发行规模上限〖10〗亿元。</w:t>
            </w:r>
          </w:p>
          <w:p>
            <w:pPr>
              <w:widowControl/>
              <w:spacing w:line="300" w:lineRule="auto"/>
              <w:contextualSpacing/>
              <w:rPr>
                <w:rFonts w:ascii="宋体" w:hAnsi="宋体" w:hint="eastAsia"/>
                <w:color w:val="000000"/>
                <w:szCs w:val="21"/>
              </w:rPr>
            </w:pPr>
            <w:r>
              <w:rPr>
                <w:rFonts w:ascii="宋体" w:hAnsi="宋体" w:hint="eastAsia"/>
                <w:color w:val="000000"/>
                <w:szCs w:val="21"/>
              </w:rPr>
              <w:t>C份额：发行规模上限〖15〗亿元。</w:t>
            </w:r>
          </w:p>
          <w:p>
            <w:pPr>
              <w:widowControl/>
              <w:spacing w:line="300" w:lineRule="auto"/>
              <w:contextualSpacing/>
              <w:rPr>
                <w:rFonts w:ascii="宋体" w:hAnsi="宋体" w:hint="eastAsia"/>
                <w:color w:val="000000"/>
                <w:szCs w:val="21"/>
              </w:rPr>
            </w:pPr>
            <w:r>
              <w:rPr>
                <w:rFonts w:ascii="宋体" w:hAnsi="宋体" w:hint="eastAsia"/>
                <w:color w:val="000000"/>
                <w:szCs w:val="21"/>
              </w:rPr>
              <w:t>D份额：发行规模上限〖5〗亿元。</w:t>
            </w:r>
          </w:p>
          <w:p>
            <w:pPr>
              <w:widowControl/>
              <w:spacing w:line="300" w:lineRule="auto"/>
              <w:contextualSpacing/>
              <w:rPr>
                <w:rFonts w:ascii="宋体" w:hAnsi="宋体" w:hint="eastAsia"/>
                <w:color w:val="000000"/>
                <w:szCs w:val="21"/>
              </w:rPr>
            </w:pPr>
            <w:r>
              <w:rPr>
                <w:rFonts w:ascii="宋体" w:hAnsi="宋体" w:hint="eastAsia"/>
                <w:color w:val="000000"/>
                <w:szCs w:val="21"/>
              </w:rPr>
              <w:t>E份额：发行规模上限〖10〗亿元。</w:t>
            </w:r>
          </w:p>
          <w:p>
            <w:pPr>
              <w:widowControl/>
              <w:spacing w:line="300" w:lineRule="auto"/>
              <w:contextualSpacing/>
              <w:rPr>
                <w:rFonts w:ascii="宋体" w:hAnsi="宋体"/>
                <w:color w:val="000000"/>
                <w:szCs w:val="21"/>
              </w:rPr>
            </w:pPr>
            <w:r>
              <w:rPr>
                <w:rFonts w:ascii="宋体" w:hAnsi="宋体" w:hint="eastAsia"/>
                <w:color w:val="000000"/>
                <w:szCs w:val="21"/>
              </w:rPr>
              <w:t>产品A、B、C、D、E份额总发行规模上限合计〖50〗亿元。</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ascii="宋体" w:hAnsi="宋体" w:hint="eastAsia"/>
                <w:color w:val="000000"/>
                <w:szCs w:val="21"/>
              </w:rPr>
              <w:t>〖2022〗年〖9〗月〖6〗日-〖2022〗年〖9〗月〖13〗日</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ascii="宋体" w:hAnsi="宋体" w:hint="eastAsia"/>
                <w:color w:val="000000"/>
                <w:szCs w:val="21"/>
              </w:rPr>
              <w:t>认购期首日9：00至认购结束日17：00</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ascii="宋体" w:hAnsi="宋体" w:hint="eastAsia"/>
                <w:color w:val="000000"/>
                <w:szCs w:val="21"/>
              </w:rPr>
              <w:t>〖2022〗年〖9〗月〖14〗日</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ascii="宋体" w:hAnsi="宋体" w:hint="eastAsia"/>
                <w:color w:val="000000"/>
                <w:szCs w:val="21"/>
              </w:rPr>
              <w:t>〖2023〗年〖9〗月〖21〗日，若到期日为非工作日则顺延至下一个工作日。</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ascii="宋体" w:hAnsi="宋体" w:hint="eastAsia"/>
                <w:color w:val="000000"/>
                <w:szCs w:val="21"/>
              </w:rPr>
              <w:t>〖372〗天（实际理财期限受制于管理人提前终止权等条款）</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认购起点金额</w:t>
            </w:r>
          </w:p>
        </w:tc>
        <w:tc>
          <w:tcPr>
            <w:tcW w:w="7542" w:type="dxa"/>
            <w:vAlign w:val="center"/>
          </w:tcPr>
          <w:p>
            <w:pPr>
              <w:widowControl/>
              <w:spacing w:line="300" w:lineRule="auto"/>
              <w:contextualSpacing/>
              <w:rPr>
                <w:rFonts w:ascii="宋体" w:hAnsi="宋体" w:hint="eastAsia"/>
                <w:color w:val="000000"/>
                <w:szCs w:val="21"/>
              </w:rPr>
            </w:pPr>
            <w:r>
              <w:rPr>
                <w:rFonts w:ascii="宋体" w:hAnsi="宋体" w:hint="eastAsia"/>
                <w:color w:val="000000"/>
                <w:szCs w:val="21"/>
              </w:rPr>
              <w:t>A份额：起点</w:t>
            </w:r>
            <w:r>
              <w:rPr>
                <w:rFonts w:ascii="宋体" w:hAnsi="宋体" w:cs="宋体" w:hint="eastAsia"/>
                <w:szCs w:val="21"/>
              </w:rPr>
              <w:t>〖1000〗</w:t>
            </w:r>
            <w:r>
              <w:rPr>
                <w:rFonts w:ascii="宋体" w:hAnsi="宋体" w:hint="eastAsia"/>
                <w:color w:val="000000"/>
                <w:szCs w:val="21"/>
              </w:rPr>
              <w:t>元整（具体以销售机构销售要素为准），超过认购起点部分，应为</w:t>
            </w:r>
            <w:r>
              <w:rPr>
                <w:rFonts w:ascii="宋体" w:hAnsi="宋体" w:cs="宋体" w:hint="eastAsia"/>
                <w:szCs w:val="21"/>
              </w:rPr>
              <w:t>〖1000〗</w:t>
            </w:r>
            <w:r>
              <w:rPr>
                <w:rFonts w:ascii="宋体" w:hAnsi="宋体" w:hint="eastAsia"/>
                <w:color w:val="000000"/>
                <w:szCs w:val="21"/>
              </w:rPr>
              <w:t>元的整数倍。</w:t>
            </w:r>
          </w:p>
          <w:p>
            <w:pPr>
              <w:widowControl/>
              <w:spacing w:line="300" w:lineRule="auto"/>
              <w:contextualSpacing/>
              <w:rPr>
                <w:rFonts w:ascii="宋体" w:hAnsi="宋体" w:hint="eastAsia"/>
                <w:color w:val="000000"/>
                <w:szCs w:val="21"/>
              </w:rPr>
            </w:pPr>
            <w:r>
              <w:rPr>
                <w:rFonts w:ascii="宋体" w:hAnsi="宋体" w:hint="eastAsia"/>
                <w:color w:val="000000"/>
                <w:szCs w:val="21"/>
              </w:rPr>
              <w:t>B份额：起点</w:t>
            </w:r>
            <w:r>
              <w:rPr>
                <w:rFonts w:ascii="宋体" w:hAnsi="宋体" w:cs="宋体" w:hint="eastAsia"/>
                <w:szCs w:val="21"/>
              </w:rPr>
              <w:t>〖1000〗</w:t>
            </w:r>
            <w:r>
              <w:rPr>
                <w:rFonts w:ascii="宋体" w:hAnsi="宋体" w:hint="eastAsia"/>
                <w:color w:val="000000"/>
                <w:szCs w:val="21"/>
              </w:rPr>
              <w:t>元整（具体以销售机构销售要素为准），超过认购起点部分，应为</w:t>
            </w:r>
            <w:r>
              <w:rPr>
                <w:rFonts w:ascii="宋体" w:hAnsi="宋体" w:cs="宋体" w:hint="eastAsia"/>
                <w:szCs w:val="21"/>
              </w:rPr>
              <w:t>〖1000〗</w:t>
            </w:r>
            <w:r>
              <w:rPr>
                <w:rFonts w:ascii="宋体" w:hAnsi="宋体" w:hint="eastAsia"/>
                <w:color w:val="000000"/>
                <w:szCs w:val="21"/>
              </w:rPr>
              <w:t>元的整数倍。</w:t>
            </w:r>
          </w:p>
          <w:p>
            <w:pPr>
              <w:widowControl/>
              <w:spacing w:line="300" w:lineRule="auto"/>
              <w:contextualSpacing/>
              <w:rPr>
                <w:rFonts w:ascii="宋体" w:hAnsi="宋体" w:hint="eastAsia"/>
                <w:color w:val="000000"/>
                <w:szCs w:val="21"/>
              </w:rPr>
            </w:pPr>
            <w:r>
              <w:rPr>
                <w:rFonts w:ascii="宋体" w:hAnsi="宋体" w:hint="eastAsia"/>
                <w:color w:val="000000"/>
                <w:szCs w:val="21"/>
              </w:rPr>
              <w:t>C份额：起点</w:t>
            </w:r>
            <w:r>
              <w:rPr>
                <w:rFonts w:ascii="宋体" w:hAnsi="宋体" w:cs="宋体" w:hint="eastAsia"/>
                <w:szCs w:val="21"/>
              </w:rPr>
              <w:t>〖1000〗</w:t>
            </w:r>
            <w:r>
              <w:rPr>
                <w:rFonts w:ascii="宋体" w:hAnsi="宋体" w:hint="eastAsia"/>
                <w:color w:val="000000"/>
                <w:szCs w:val="21"/>
              </w:rPr>
              <w:t>元整（具体以销售机构销售要素为准），超过认购起点部分，应为</w:t>
            </w:r>
            <w:r>
              <w:rPr>
                <w:rFonts w:ascii="宋体" w:hAnsi="宋体" w:cs="宋体" w:hint="eastAsia"/>
                <w:szCs w:val="21"/>
              </w:rPr>
              <w:t>〖1000〗</w:t>
            </w:r>
            <w:r>
              <w:rPr>
                <w:rFonts w:ascii="宋体" w:hAnsi="宋体" w:hint="eastAsia"/>
                <w:color w:val="000000"/>
                <w:szCs w:val="21"/>
              </w:rPr>
              <w:t>元的整数倍。</w:t>
            </w:r>
          </w:p>
          <w:p>
            <w:pPr>
              <w:widowControl/>
              <w:spacing w:line="300" w:lineRule="auto"/>
              <w:contextualSpacing/>
              <w:rPr>
                <w:rFonts w:ascii="宋体" w:hAnsi="宋体" w:hint="eastAsia"/>
                <w:color w:val="000000"/>
                <w:szCs w:val="21"/>
              </w:rPr>
            </w:pPr>
            <w:r>
              <w:rPr>
                <w:rFonts w:ascii="宋体" w:hAnsi="宋体" w:hint="eastAsia"/>
                <w:color w:val="000000"/>
                <w:szCs w:val="21"/>
              </w:rPr>
              <w:t>D份额：起点</w:t>
            </w:r>
            <w:r>
              <w:rPr>
                <w:rFonts w:ascii="宋体" w:hAnsi="宋体" w:cs="宋体" w:hint="eastAsia"/>
                <w:szCs w:val="21"/>
              </w:rPr>
              <w:t>〖1〗</w:t>
            </w:r>
            <w:r>
              <w:rPr>
                <w:rFonts w:ascii="宋体" w:hAnsi="宋体" w:hint="eastAsia"/>
                <w:color w:val="000000"/>
                <w:szCs w:val="21"/>
              </w:rPr>
              <w:t>元整（具体以销售机构销售要素为准），超过认购起点部分，应为</w:t>
            </w:r>
            <w:r>
              <w:rPr>
                <w:rFonts w:ascii="宋体" w:hAnsi="宋体" w:cs="宋体" w:hint="eastAsia"/>
                <w:szCs w:val="21"/>
              </w:rPr>
              <w:t>〖1〗</w:t>
            </w:r>
            <w:r>
              <w:rPr>
                <w:rFonts w:ascii="宋体" w:hAnsi="宋体" w:hint="eastAsia"/>
                <w:color w:val="000000"/>
                <w:szCs w:val="21"/>
              </w:rPr>
              <w:t>元的整数倍。</w:t>
            </w:r>
          </w:p>
          <w:p>
            <w:pPr>
              <w:widowControl/>
              <w:spacing w:line="300" w:lineRule="auto"/>
              <w:contextualSpacing/>
              <w:rPr>
                <w:rFonts w:ascii="宋体" w:hAnsi="宋体" w:hint="eastAsia"/>
                <w:color w:val="000000"/>
                <w:szCs w:val="21"/>
              </w:rPr>
            </w:pPr>
            <w:r>
              <w:rPr>
                <w:rFonts w:ascii="宋体" w:hAnsi="宋体" w:hint="eastAsia"/>
                <w:color w:val="000000"/>
                <w:szCs w:val="21"/>
              </w:rPr>
              <w:t>E份额：起点</w:t>
            </w:r>
            <w:r>
              <w:rPr>
                <w:rFonts w:ascii="宋体" w:hAnsi="宋体" w:cs="宋体" w:hint="eastAsia"/>
                <w:szCs w:val="21"/>
              </w:rPr>
              <w:t>〖1〗</w:t>
            </w:r>
            <w:r>
              <w:rPr>
                <w:rFonts w:ascii="宋体" w:hAnsi="宋体" w:hint="eastAsia"/>
                <w:color w:val="000000"/>
                <w:szCs w:val="21"/>
              </w:rPr>
              <w:t>元整（具体以销售机构销售要素为准），超过认购起点部分，应为</w:t>
            </w:r>
            <w:r>
              <w:rPr>
                <w:rFonts w:ascii="宋体" w:hAnsi="宋体" w:cs="宋体" w:hint="eastAsia"/>
                <w:szCs w:val="21"/>
              </w:rPr>
              <w:t>〖1〗</w:t>
            </w:r>
            <w:r>
              <w:rPr>
                <w:rFonts w:ascii="宋体" w:hAnsi="宋体" w:hint="eastAsia"/>
                <w:color w:val="000000"/>
                <w:szCs w:val="21"/>
              </w:rPr>
              <w:t>元的整数倍。</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ascii="宋体" w:hAnsi="宋体" w:hint="eastAsia"/>
                <w:color w:val="000000"/>
                <w:szCs w:val="21"/>
              </w:rPr>
              <w:t>认购份额=认购金额/1元。认购份额保留至0.01份理财产品份额，小数点后两位以下四舍五入。</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ascii="宋体" w:hAnsi="宋体" w:hint="eastAsia"/>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ascii="宋体" w:hAnsi="宋体" w:cs="宋体" w:hint="eastAsia"/>
                <w:szCs w:val="21"/>
              </w:rPr>
              <w:t>〖3000〗</w:t>
            </w:r>
            <w:r>
              <w:rPr>
                <w:rFonts w:ascii="宋体" w:hAnsi="宋体" w:hint="eastAsia"/>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ascii="宋体" w:hAnsi="宋体" w:hint="eastAsia"/>
                <w:b/>
                <w:color w:val="000000"/>
                <w:szCs w:val="21"/>
              </w:rPr>
              <w:t>该理财资金在原定产品开始日至资金到账日之间不计利息。</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业绩比较基准</w:t>
            </w:r>
          </w:p>
        </w:tc>
        <w:tc>
          <w:tcPr>
            <w:tcW w:w="7542" w:type="dxa"/>
            <w:vAlign w:val="center"/>
          </w:tcPr>
          <w:p>
            <w:pPr>
              <w:widowControl/>
              <w:spacing w:line="300" w:lineRule="auto"/>
              <w:contextualSpacing/>
              <w:rPr>
                <w:rFonts w:ascii="宋体" w:hAnsi="宋体" w:hint="eastAsia"/>
                <w:color w:val="000000"/>
                <w:szCs w:val="21"/>
              </w:rPr>
            </w:pPr>
            <w:r>
              <w:rPr>
                <w:rFonts w:ascii="宋体" w:hAnsi="宋体" w:hint="eastAsia"/>
                <w:color w:val="000000"/>
                <w:szCs w:val="21"/>
              </w:rPr>
              <w:t>A份额：业绩比较基准为〖3.80%〗（年化）。</w:t>
            </w:r>
          </w:p>
          <w:p>
            <w:pPr>
              <w:widowControl/>
              <w:spacing w:line="300" w:lineRule="auto"/>
              <w:contextualSpacing/>
              <w:rPr>
                <w:rFonts w:ascii="宋体" w:hAnsi="宋体" w:hint="eastAsia"/>
                <w:color w:val="000000"/>
                <w:szCs w:val="21"/>
              </w:rPr>
            </w:pPr>
            <w:r>
              <w:rPr>
                <w:rFonts w:ascii="宋体" w:hAnsi="宋体" w:hint="eastAsia"/>
                <w:color w:val="000000"/>
                <w:szCs w:val="21"/>
              </w:rPr>
              <w:t>B份额：业绩比较基准为〖4.10%〗（年化）。</w:t>
            </w:r>
          </w:p>
          <w:p>
            <w:pPr>
              <w:widowControl/>
              <w:spacing w:line="300" w:lineRule="auto"/>
              <w:contextualSpacing/>
              <w:rPr>
                <w:rFonts w:ascii="宋体" w:hAnsi="宋体" w:hint="eastAsia"/>
                <w:color w:val="000000"/>
                <w:szCs w:val="21"/>
              </w:rPr>
            </w:pPr>
            <w:r>
              <w:rPr>
                <w:rFonts w:ascii="宋体" w:hAnsi="宋体" w:hint="eastAsia"/>
                <w:color w:val="000000"/>
                <w:szCs w:val="21"/>
              </w:rPr>
              <w:t>C份额：业绩比较基准为〖4.00%〗（年化）。</w:t>
            </w:r>
          </w:p>
          <w:p>
            <w:pPr>
              <w:widowControl/>
              <w:spacing w:line="300" w:lineRule="auto"/>
              <w:contextualSpacing/>
              <w:rPr>
                <w:rFonts w:ascii="宋体" w:hAnsi="宋体" w:hint="eastAsia"/>
                <w:color w:val="000000"/>
                <w:szCs w:val="21"/>
              </w:rPr>
            </w:pPr>
            <w:r>
              <w:rPr>
                <w:rFonts w:ascii="宋体" w:hAnsi="宋体" w:hint="eastAsia"/>
                <w:color w:val="000000"/>
                <w:szCs w:val="21"/>
              </w:rPr>
              <w:t>D份额：业绩比较基准为〖4.20%〗（年化）。</w:t>
            </w:r>
          </w:p>
          <w:p>
            <w:pPr>
              <w:widowControl/>
              <w:spacing w:line="300" w:lineRule="auto"/>
              <w:contextualSpacing/>
              <w:rPr>
                <w:rFonts w:ascii="宋体" w:hAnsi="宋体" w:hint="eastAsia"/>
                <w:color w:val="000000"/>
                <w:szCs w:val="21"/>
              </w:rPr>
            </w:pPr>
            <w:r>
              <w:rPr>
                <w:rFonts w:ascii="宋体" w:hAnsi="宋体" w:hint="eastAsia"/>
                <w:color w:val="000000"/>
                <w:szCs w:val="21"/>
              </w:rPr>
              <w:t>E份额：业绩比较基准为〖4.30%〗（年化）。</w:t>
            </w:r>
          </w:p>
          <w:p>
            <w:pPr>
              <w:widowControl/>
              <w:spacing w:line="300" w:lineRule="auto"/>
              <w:contextualSpacing/>
              <w:rPr>
                <w:rFonts w:ascii="宋体" w:hAnsi="宋体" w:hint="eastAsia"/>
                <w:b/>
                <w:color w:val="000000"/>
                <w:szCs w:val="21"/>
              </w:rPr>
            </w:pPr>
            <w:r>
              <w:rPr>
                <w:rFonts w:ascii="宋体" w:hAnsi="宋体" w:hint="eastAsia"/>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ascii="宋体" w:hAnsi="宋体" w:hint="eastAsia"/>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ascii="宋体" w:hAnsi="宋体" w:hint="eastAsia"/>
                <w:color w:val="000000"/>
                <w:szCs w:val="21"/>
              </w:rPr>
              <w:t>理财产品总净值=理财产品认购总额+理财产品所获总收益-理财产品总费用（包括但不限于管理费、托管费、销售服务费等）。</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ascii="宋体" w:hAnsi="宋体" w:hint="eastAsia"/>
                <w:color w:val="000000"/>
                <w:szCs w:val="21"/>
              </w:rPr>
              <w:t>产品到期后的</w:t>
            </w:r>
            <w:r>
              <w:rPr>
                <w:rFonts w:ascii="宋体" w:hAnsi="宋体" w:hint="eastAsia"/>
                <w:b/>
                <w:color w:val="000000"/>
                <w:szCs w:val="21"/>
              </w:rPr>
              <w:t>3</w:t>
            </w:r>
            <w:r>
              <w:rPr>
                <w:rFonts w:ascii="宋体" w:hAnsi="宋体" w:hint="eastAsia"/>
                <w:color w:val="000000"/>
                <w:szCs w:val="21"/>
              </w:rPr>
              <w:t>个工作日内（遇节假日顺延）理财资金与收益一次性支付。如遇资金在途或法定工作日调整，实际资金到账日以公告为准。</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产品费用</w:t>
            </w:r>
          </w:p>
        </w:tc>
        <w:tc>
          <w:tcPr>
            <w:tcW w:w="7542" w:type="dxa"/>
            <w:vAlign w:val="center"/>
          </w:tcPr>
          <w:p>
            <w:pPr>
              <w:widowControl/>
              <w:spacing w:line="300" w:lineRule="auto"/>
              <w:contextualSpacing/>
              <w:rPr>
                <w:rFonts w:ascii="宋体" w:hAnsi="宋体" w:hint="eastAsia"/>
                <w:color w:val="000000"/>
                <w:szCs w:val="21"/>
              </w:rPr>
            </w:pPr>
            <w:r>
              <w:rPr>
                <w:rFonts w:ascii="宋体" w:hAnsi="宋体" w:hint="eastAsia"/>
                <w:color w:val="000000"/>
                <w:szCs w:val="21"/>
              </w:rPr>
              <w:t>1、销售服务费。按日计提。</w:t>
            </w:r>
          </w:p>
          <w:p>
            <w:pPr>
              <w:widowControl/>
              <w:spacing w:line="300" w:lineRule="auto"/>
              <w:contextualSpacing/>
              <w:rPr>
                <w:rFonts w:ascii="宋体" w:hAnsi="宋体" w:hint="eastAsia"/>
                <w:szCs w:val="21"/>
              </w:rPr>
            </w:pPr>
            <w:r>
              <w:rPr>
                <w:rFonts w:ascii="宋体" w:hAnsi="宋体" w:hint="eastAsia"/>
                <w:szCs w:val="21"/>
              </w:rPr>
              <w:t>A份额：按照A份额</w:t>
            </w:r>
            <w:r>
              <w:rPr>
                <w:rFonts w:hint="eastAsia"/>
              </w:rPr>
              <w:t>资产净值</w:t>
            </w:r>
            <w:r>
              <w:rPr>
                <w:rFonts w:ascii="宋体" w:hAnsi="宋体" w:hint="eastAsia"/>
                <w:szCs w:val="21"/>
              </w:rPr>
              <w:t>收取年化</w:t>
            </w:r>
            <w:r>
              <w:rPr>
                <w:rFonts w:ascii="宋体" w:hAnsi="宋体" w:cs="宋体" w:hint="eastAsia"/>
                <w:szCs w:val="21"/>
              </w:rPr>
              <w:t>〖0.20%〗</w:t>
            </w:r>
            <w:r>
              <w:rPr>
                <w:rFonts w:ascii="宋体" w:hAnsi="宋体" w:hint="eastAsia"/>
                <w:szCs w:val="21"/>
              </w:rPr>
              <w:t>的销售服务费。</w:t>
            </w:r>
          </w:p>
          <w:p>
            <w:pPr>
              <w:widowControl/>
              <w:spacing w:line="300" w:lineRule="auto"/>
              <w:contextualSpacing/>
              <w:rPr>
                <w:rFonts w:ascii="宋体" w:hAnsi="宋体" w:hint="eastAsia"/>
                <w:szCs w:val="21"/>
              </w:rPr>
            </w:pPr>
            <w:r>
              <w:rPr>
                <w:rFonts w:ascii="宋体" w:hAnsi="宋体" w:hint="eastAsia"/>
                <w:szCs w:val="21"/>
              </w:rPr>
              <w:t>B份额：按照B份额</w:t>
            </w:r>
            <w:r>
              <w:rPr>
                <w:rFonts w:hint="eastAsia"/>
              </w:rPr>
              <w:t>资产净值</w:t>
            </w:r>
            <w:r>
              <w:rPr>
                <w:rFonts w:ascii="宋体" w:hAnsi="宋体" w:hint="eastAsia"/>
                <w:szCs w:val="21"/>
              </w:rPr>
              <w:t>收取年化</w:t>
            </w:r>
            <w:r>
              <w:rPr>
                <w:rFonts w:ascii="宋体" w:hAnsi="宋体" w:cs="宋体" w:hint="eastAsia"/>
                <w:szCs w:val="21"/>
              </w:rPr>
              <w:t>〖0.10%〗</w:t>
            </w:r>
            <w:r>
              <w:rPr>
                <w:rFonts w:ascii="宋体" w:hAnsi="宋体" w:hint="eastAsia"/>
                <w:szCs w:val="21"/>
              </w:rPr>
              <w:t>的销售服务费。</w:t>
            </w:r>
          </w:p>
          <w:p>
            <w:pPr>
              <w:widowControl/>
              <w:spacing w:line="300" w:lineRule="auto"/>
              <w:contextualSpacing/>
              <w:rPr>
                <w:rFonts w:ascii="宋体" w:hAnsi="宋体" w:hint="eastAsia"/>
                <w:szCs w:val="21"/>
              </w:rPr>
            </w:pPr>
            <w:r>
              <w:rPr>
                <w:rFonts w:ascii="宋体" w:hAnsi="宋体" w:hint="eastAsia"/>
                <w:szCs w:val="21"/>
              </w:rPr>
              <w:t>C份额：按照C份额</w:t>
            </w:r>
            <w:r>
              <w:rPr>
                <w:rFonts w:hint="eastAsia"/>
              </w:rPr>
              <w:t>资产净值</w:t>
            </w:r>
            <w:r>
              <w:rPr>
                <w:rFonts w:ascii="宋体" w:hAnsi="宋体" w:hint="eastAsia"/>
                <w:szCs w:val="21"/>
              </w:rPr>
              <w:t>收取年化</w:t>
            </w:r>
            <w:r>
              <w:rPr>
                <w:rFonts w:ascii="宋体" w:hAnsi="宋体" w:cs="宋体" w:hint="eastAsia"/>
                <w:szCs w:val="21"/>
              </w:rPr>
              <w:t>〖0.20%〗</w:t>
            </w:r>
            <w:r>
              <w:rPr>
                <w:rFonts w:ascii="宋体" w:hAnsi="宋体" w:hint="eastAsia"/>
                <w:szCs w:val="21"/>
              </w:rPr>
              <w:t>的销售服务费。</w:t>
            </w:r>
          </w:p>
          <w:p>
            <w:pPr>
              <w:widowControl/>
              <w:spacing w:line="300" w:lineRule="auto"/>
              <w:contextualSpacing/>
              <w:rPr>
                <w:rFonts w:ascii="宋体" w:hAnsi="宋体" w:hint="eastAsia"/>
                <w:szCs w:val="21"/>
              </w:rPr>
            </w:pPr>
            <w:r>
              <w:rPr>
                <w:rFonts w:ascii="宋体" w:hAnsi="宋体" w:hint="eastAsia"/>
                <w:szCs w:val="21"/>
              </w:rPr>
              <w:t>D份额：按照D份额</w:t>
            </w:r>
            <w:r>
              <w:rPr>
                <w:rFonts w:hint="eastAsia"/>
              </w:rPr>
              <w:t>资产净值</w:t>
            </w:r>
            <w:r>
              <w:rPr>
                <w:rFonts w:ascii="宋体" w:hAnsi="宋体" w:hint="eastAsia"/>
                <w:szCs w:val="21"/>
              </w:rPr>
              <w:t>收取年化</w:t>
            </w:r>
            <w:r>
              <w:rPr>
                <w:rFonts w:ascii="宋体" w:hAnsi="宋体" w:cs="宋体" w:hint="eastAsia"/>
                <w:szCs w:val="21"/>
              </w:rPr>
              <w:t>〖0%〗</w:t>
            </w:r>
            <w:r>
              <w:rPr>
                <w:rFonts w:ascii="宋体" w:hAnsi="宋体" w:hint="eastAsia"/>
                <w:szCs w:val="21"/>
              </w:rPr>
              <w:t>的销售服务费。</w:t>
            </w:r>
          </w:p>
          <w:p>
            <w:pPr>
              <w:widowControl/>
              <w:spacing w:line="300" w:lineRule="auto"/>
              <w:contextualSpacing/>
              <w:rPr>
                <w:rFonts w:ascii="宋体" w:hAnsi="宋体" w:hint="eastAsia"/>
                <w:szCs w:val="21"/>
              </w:rPr>
            </w:pPr>
            <w:r>
              <w:rPr>
                <w:rFonts w:ascii="宋体" w:hAnsi="宋体" w:hint="eastAsia"/>
                <w:szCs w:val="21"/>
              </w:rPr>
              <w:t>E份额：按照E份额</w:t>
            </w:r>
            <w:r>
              <w:rPr>
                <w:rFonts w:hint="eastAsia"/>
              </w:rPr>
              <w:t>资产净值</w:t>
            </w:r>
            <w:r>
              <w:rPr>
                <w:rFonts w:ascii="宋体" w:hAnsi="宋体" w:hint="eastAsia"/>
                <w:szCs w:val="21"/>
              </w:rPr>
              <w:t>收取年化</w:t>
            </w:r>
            <w:r>
              <w:rPr>
                <w:rFonts w:ascii="宋体" w:hAnsi="宋体" w:cs="宋体" w:hint="eastAsia"/>
                <w:szCs w:val="21"/>
              </w:rPr>
              <w:t>〖0%〗</w:t>
            </w:r>
            <w:r>
              <w:rPr>
                <w:rFonts w:ascii="宋体" w:hAnsi="宋体" w:hint="eastAsia"/>
                <w:szCs w:val="21"/>
              </w:rPr>
              <w:t>的销售服务费。</w:t>
            </w:r>
          </w:p>
          <w:p>
            <w:pPr>
              <w:widowControl/>
              <w:spacing w:line="300" w:lineRule="auto"/>
              <w:contextualSpacing/>
              <w:rPr>
                <w:rFonts w:ascii="宋体" w:hAnsi="宋体"/>
                <w:color w:val="000000"/>
                <w:szCs w:val="21"/>
              </w:rPr>
            </w:pPr>
            <w:r>
              <w:rPr>
                <w:rFonts w:ascii="宋体" w:hAnsi="宋体" w:hint="eastAsia"/>
                <w:color w:val="000000"/>
                <w:szCs w:val="21"/>
              </w:rPr>
              <w:t>2、托管费。本产品托管人按照产品</w:t>
            </w:r>
            <w:r>
              <w:rPr>
                <w:rFonts w:hint="eastAsia"/>
              </w:rPr>
              <w:t>资产净值</w:t>
            </w:r>
            <w:r>
              <w:rPr>
                <w:rFonts w:ascii="宋体" w:hAnsi="宋体" w:hint="eastAsia"/>
                <w:color w:val="000000"/>
                <w:szCs w:val="21"/>
              </w:rPr>
              <w:t>收取年化</w:t>
            </w:r>
            <w:r>
              <w:rPr>
                <w:rFonts w:ascii="宋体" w:hAnsi="宋体" w:cs="宋体" w:hint="eastAsia"/>
                <w:szCs w:val="21"/>
              </w:rPr>
              <w:t>〖0.025%〗</w:t>
            </w:r>
            <w:r>
              <w:rPr>
                <w:rFonts w:ascii="宋体" w:hAnsi="宋体" w:hint="eastAsia"/>
                <w:color w:val="000000"/>
                <w:szCs w:val="21"/>
              </w:rPr>
              <w:t>的托管费。按日计提。</w:t>
            </w:r>
          </w:p>
          <w:p>
            <w:pPr>
              <w:widowControl/>
              <w:spacing w:line="300" w:lineRule="auto"/>
              <w:contextualSpacing/>
              <w:rPr>
                <w:rFonts w:ascii="宋体" w:hAnsi="宋体" w:hint="eastAsia"/>
                <w:color w:val="000000"/>
                <w:szCs w:val="21"/>
              </w:rPr>
            </w:pPr>
            <w:r>
              <w:rPr>
                <w:rFonts w:ascii="宋体" w:hAnsi="宋体" w:hint="eastAsia"/>
                <w:color w:val="000000"/>
                <w:szCs w:val="21"/>
              </w:rPr>
              <w:t>3、固定管理费。按日计提。</w:t>
            </w:r>
          </w:p>
          <w:p>
            <w:pPr>
              <w:widowControl/>
              <w:spacing w:line="300" w:lineRule="auto"/>
              <w:contextualSpacing/>
              <w:rPr>
                <w:rFonts w:ascii="宋体" w:hAnsi="宋体" w:hint="eastAsia"/>
                <w:szCs w:val="21"/>
              </w:rPr>
            </w:pPr>
            <w:r>
              <w:rPr>
                <w:rFonts w:ascii="宋体" w:hAnsi="宋体" w:hint="eastAsia"/>
                <w:szCs w:val="21"/>
              </w:rPr>
              <w:t>A份额：按照A份额</w:t>
            </w:r>
            <w:r>
              <w:rPr>
                <w:rFonts w:hint="eastAsia"/>
              </w:rPr>
              <w:t>资产净值</w:t>
            </w:r>
            <w:r>
              <w:rPr>
                <w:rFonts w:ascii="宋体" w:hAnsi="宋体" w:hint="eastAsia"/>
                <w:szCs w:val="21"/>
              </w:rPr>
              <w:t>收取年化</w:t>
            </w:r>
            <w:r>
              <w:rPr>
                <w:rFonts w:ascii="宋体" w:hAnsi="宋体" w:cs="宋体" w:hint="eastAsia"/>
                <w:szCs w:val="21"/>
              </w:rPr>
              <w:t>〖0.40%〗</w:t>
            </w:r>
            <w:r>
              <w:rPr>
                <w:rFonts w:ascii="宋体" w:hAnsi="宋体" w:hint="eastAsia"/>
                <w:szCs w:val="21"/>
              </w:rPr>
              <w:t>的固定管理费。</w:t>
            </w:r>
          </w:p>
          <w:p>
            <w:pPr>
              <w:widowControl/>
              <w:spacing w:line="300" w:lineRule="auto"/>
              <w:contextualSpacing/>
              <w:rPr>
                <w:rFonts w:ascii="宋体" w:hAnsi="宋体" w:hint="eastAsia"/>
                <w:szCs w:val="21"/>
              </w:rPr>
            </w:pPr>
            <w:r>
              <w:rPr>
                <w:rFonts w:ascii="宋体" w:hAnsi="宋体" w:hint="eastAsia"/>
                <w:szCs w:val="21"/>
              </w:rPr>
              <w:t>B份额：按照B份额</w:t>
            </w:r>
            <w:r>
              <w:rPr>
                <w:rFonts w:hint="eastAsia"/>
              </w:rPr>
              <w:t>资产净值</w:t>
            </w:r>
            <w:r>
              <w:rPr>
                <w:rFonts w:ascii="宋体" w:hAnsi="宋体" w:hint="eastAsia"/>
                <w:szCs w:val="21"/>
              </w:rPr>
              <w:t>收取年化</w:t>
            </w:r>
            <w:r>
              <w:rPr>
                <w:rFonts w:ascii="宋体" w:hAnsi="宋体" w:cs="宋体" w:hint="eastAsia"/>
                <w:szCs w:val="21"/>
              </w:rPr>
              <w:t>〖0.20%〗</w:t>
            </w:r>
            <w:r>
              <w:rPr>
                <w:rFonts w:ascii="宋体" w:hAnsi="宋体" w:hint="eastAsia"/>
                <w:szCs w:val="21"/>
              </w:rPr>
              <w:t>的固定管理费。</w:t>
            </w:r>
          </w:p>
          <w:p>
            <w:pPr>
              <w:widowControl/>
              <w:spacing w:line="300" w:lineRule="auto"/>
              <w:contextualSpacing/>
              <w:rPr>
                <w:rFonts w:ascii="宋体" w:hAnsi="宋体" w:hint="eastAsia"/>
                <w:szCs w:val="21"/>
              </w:rPr>
            </w:pPr>
            <w:r>
              <w:rPr>
                <w:rFonts w:ascii="宋体" w:hAnsi="宋体" w:hint="eastAsia"/>
                <w:szCs w:val="21"/>
              </w:rPr>
              <w:t>C份额：按照C份额</w:t>
            </w:r>
            <w:r>
              <w:rPr>
                <w:rFonts w:hint="eastAsia"/>
              </w:rPr>
              <w:t>资产净值</w:t>
            </w:r>
            <w:r>
              <w:rPr>
                <w:rFonts w:ascii="宋体" w:hAnsi="宋体" w:hint="eastAsia"/>
                <w:szCs w:val="21"/>
              </w:rPr>
              <w:t>收取年化</w:t>
            </w:r>
            <w:r>
              <w:rPr>
                <w:rFonts w:ascii="宋体" w:hAnsi="宋体" w:cs="宋体" w:hint="eastAsia"/>
                <w:szCs w:val="21"/>
              </w:rPr>
              <w:t>〖0.20%〗</w:t>
            </w:r>
            <w:r>
              <w:rPr>
                <w:rFonts w:ascii="宋体" w:hAnsi="宋体" w:hint="eastAsia"/>
                <w:szCs w:val="21"/>
              </w:rPr>
              <w:t>的固定管理费。</w:t>
            </w:r>
          </w:p>
          <w:p>
            <w:pPr>
              <w:widowControl/>
              <w:spacing w:line="300" w:lineRule="auto"/>
              <w:contextualSpacing/>
              <w:rPr>
                <w:rFonts w:ascii="宋体" w:hAnsi="宋体" w:hint="eastAsia"/>
                <w:szCs w:val="21"/>
              </w:rPr>
            </w:pPr>
            <w:r>
              <w:rPr>
                <w:rFonts w:ascii="宋体" w:hAnsi="宋体" w:hint="eastAsia"/>
                <w:szCs w:val="21"/>
              </w:rPr>
              <w:t>D份额：按照D份额</w:t>
            </w:r>
            <w:r>
              <w:rPr>
                <w:rFonts w:hint="eastAsia"/>
              </w:rPr>
              <w:t>资产净值</w:t>
            </w:r>
            <w:r>
              <w:rPr>
                <w:rFonts w:ascii="宋体" w:hAnsi="宋体" w:hint="eastAsia"/>
                <w:szCs w:val="21"/>
              </w:rPr>
              <w:t>收取年化</w:t>
            </w:r>
            <w:r>
              <w:rPr>
                <w:rFonts w:ascii="宋体" w:hAnsi="宋体" w:cs="宋体" w:hint="eastAsia"/>
                <w:szCs w:val="21"/>
              </w:rPr>
              <w:t>〖0.20%〗</w:t>
            </w:r>
            <w:r>
              <w:rPr>
                <w:rFonts w:ascii="宋体" w:hAnsi="宋体" w:hint="eastAsia"/>
                <w:szCs w:val="21"/>
              </w:rPr>
              <w:t>的固定管理费。</w:t>
            </w:r>
          </w:p>
          <w:p>
            <w:pPr>
              <w:widowControl/>
              <w:spacing w:line="300" w:lineRule="auto"/>
              <w:contextualSpacing/>
              <w:rPr>
                <w:rFonts w:ascii="宋体" w:hAnsi="宋体" w:hint="eastAsia"/>
                <w:szCs w:val="21"/>
              </w:rPr>
            </w:pPr>
            <w:r>
              <w:rPr>
                <w:rFonts w:ascii="宋体" w:hAnsi="宋体" w:hint="eastAsia"/>
                <w:szCs w:val="21"/>
              </w:rPr>
              <w:t>E份额：按照E份额</w:t>
            </w:r>
            <w:r>
              <w:rPr>
                <w:rFonts w:hint="eastAsia"/>
              </w:rPr>
              <w:t>资产净值</w:t>
            </w:r>
            <w:r>
              <w:rPr>
                <w:rFonts w:ascii="宋体" w:hAnsi="宋体" w:hint="eastAsia"/>
                <w:szCs w:val="21"/>
              </w:rPr>
              <w:t>收取年化</w:t>
            </w:r>
            <w:r>
              <w:rPr>
                <w:rFonts w:ascii="宋体" w:hAnsi="宋体" w:cs="宋体" w:hint="eastAsia"/>
                <w:szCs w:val="21"/>
              </w:rPr>
              <w:t>〖0.10%〗</w:t>
            </w:r>
            <w:r>
              <w:rPr>
                <w:rFonts w:ascii="宋体" w:hAnsi="宋体" w:hint="eastAsia"/>
                <w:szCs w:val="21"/>
              </w:rPr>
              <w:t>的固定管理费。</w:t>
            </w:r>
          </w:p>
          <w:p>
            <w:pPr>
              <w:widowControl/>
              <w:spacing w:line="300" w:lineRule="auto"/>
              <w:contextualSpacing/>
              <w:rPr>
                <w:rFonts w:ascii="宋体" w:hAnsi="宋体"/>
                <w:color w:val="000000"/>
                <w:szCs w:val="21"/>
              </w:rPr>
            </w:pPr>
            <w:r>
              <w:rPr>
                <w:rFonts w:ascii="宋体" w:hAnsi="宋体" w:hint="eastAsia"/>
                <w:color w:val="000000"/>
                <w:szCs w:val="21"/>
              </w:rPr>
              <w:t>4、浮动管理费。本产品管理人根据理财计划投资情况计算浮动管理费，本理财产品到期日（提前终止日）的折合年化收益率超过业绩比较基准的部分,</w:t>
            </w:r>
            <w:r>
              <w:rPr>
                <w:rFonts w:ascii="宋体" w:hAnsi="宋体" w:hint="eastAsia"/>
                <w:b/>
                <w:color w:val="000000"/>
                <w:szCs w:val="21"/>
              </w:rPr>
              <w:t>管理人提取</w:t>
            </w:r>
            <w:r>
              <w:rPr>
                <w:rFonts w:ascii="宋体" w:hAnsi="宋体" w:cs="宋体" w:hint="eastAsia"/>
                <w:szCs w:val="21"/>
              </w:rPr>
              <w:t>〖80%〗</w:t>
            </w:r>
            <w:r>
              <w:rPr>
                <w:rFonts w:ascii="宋体" w:hAnsi="宋体" w:hint="eastAsia"/>
                <w:b/>
                <w:color w:val="000000"/>
                <w:szCs w:val="21"/>
              </w:rPr>
              <w:t>作为浮动管理费。</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ascii="宋体" w:hAnsi="宋体" w:cs="宋体" w:hint="eastAsia"/>
                <w:b/>
                <w:color w:val="000000"/>
                <w:kern w:val="0"/>
                <w:szCs w:val="21"/>
              </w:rPr>
              <w:t>管理人</w:t>
            </w:r>
            <w:r>
              <w:rPr>
                <w:rFonts w:ascii="宋体" w:hAnsi="宋体" w:cs="宋体"/>
                <w:b/>
                <w:color w:val="000000"/>
                <w:kern w:val="0"/>
                <w:szCs w:val="21"/>
              </w:rPr>
              <w:t>有权提前终止本产品</w:t>
            </w:r>
            <w:r>
              <w:rPr>
                <w:rFonts w:ascii="宋体" w:hAnsi="宋体" w:cs="宋体" w:hint="eastAsia"/>
                <w:b/>
                <w:color w:val="000000"/>
                <w:kern w:val="0"/>
                <w:szCs w:val="21"/>
              </w:rPr>
              <w:t>。具体参见说明书第八节。</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ascii="宋体" w:hAnsi="宋体" w:cs="宋体" w:hint="eastAsia"/>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ascii="宋体" w:hAnsi="宋体" w:cs="宋体" w:hint="eastAsia"/>
                <w:color w:val="000000"/>
                <w:szCs w:val="21"/>
              </w:rPr>
              <w:t>支付给投资者的理财收益的应纳税款由投资者自行申报及缴纳。</w:t>
            </w:r>
          </w:p>
        </w:tc>
      </w:tr>
      <w:tr>
        <w:tblPrEx>
          <w:tblLayout w:type="fixed"/>
          <w:tblCellMar>
            <w:top w:w="45" w:type="dxa"/>
            <w:left w:w="45" w:type="dxa"/>
            <w:bottom w:w="45" w:type="dxa"/>
            <w:right w:w="45" w:type="dxa"/>
          </w:tblCellMar>
          <w:tblLook w:val="0000"/>
        </w:tblPrEx>
        <w:tc>
          <w:tcPr>
            <w:tcW w:w="1845" w:type="dxa"/>
            <w:vAlign w:val="center"/>
          </w:tcPr>
          <w:p>
            <w:pPr>
              <w:widowControl/>
              <w:spacing w:line="300" w:lineRule="auto"/>
              <w:contextualSpacing/>
              <w:jc w:val="center"/>
              <w:rPr>
                <w:rFonts w:ascii="宋体" w:hAnsi="宋体" w:cs="宋体"/>
                <w:color w:val="000000"/>
                <w:kern w:val="0"/>
                <w:szCs w:val="21"/>
              </w:rPr>
            </w:pPr>
            <w:r>
              <w:rPr>
                <w:rFonts w:ascii="宋体" w:hAnsi="宋体" w:hint="eastAsia"/>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ascii="宋体" w:hAnsi="宋体" w:cs="宋体" w:hint="eastAsia"/>
                <w:b/>
                <w:color w:val="000000"/>
                <w:szCs w:val="21"/>
              </w:rPr>
              <w:t>投资者在理财期限内不能提前支取，如需质押按销售机构相关规定执行。</w:t>
            </w:r>
          </w:p>
        </w:tc>
      </w:tr>
      <w:tr>
        <w:tblPrEx>
          <w:tblLayout w:type="fixed"/>
          <w:tblCellMar>
            <w:top w:w="45" w:type="dxa"/>
            <w:left w:w="45" w:type="dxa"/>
            <w:bottom w:w="45" w:type="dxa"/>
            <w:right w:w="45" w:type="dxa"/>
          </w:tblCellMar>
          <w:tblLook w:val="0000"/>
        </w:tblPrEx>
        <w:trPr>
          <w:trHeight w:val="72"/>
        </w:trPr>
        <w:tc>
          <w:tcPr>
            <w:tcW w:w="1845" w:type="dxa"/>
            <w:tcBorders>
              <w:top w:val="single" w:sz="4" w:space="0" w:color="auto"/>
              <w:left w:val="single" w:sz="4" w:space="0" w:color="auto"/>
              <w:bottom w:val="single" w:sz="4" w:space="0" w:color="auto"/>
              <w:right w:val="single" w:sz="4" w:space="0" w:color="auto"/>
            </w:tcBorders>
            <w:vAlign w:val="center"/>
          </w:tcPr>
          <w:p>
            <w:pPr>
              <w:widowControl/>
              <w:spacing w:line="300" w:lineRule="auto"/>
              <w:contextualSpacing/>
              <w:jc w:val="center"/>
              <w:rPr>
                <w:rFonts w:ascii="宋体" w:hAnsi="宋体"/>
                <w:color w:val="000000"/>
                <w:szCs w:val="21"/>
              </w:rPr>
            </w:pPr>
            <w:r>
              <w:rPr>
                <w:rFonts w:ascii="宋体" w:hAnsi="宋体" w:hint="eastAsia"/>
                <w:color w:val="000000"/>
                <w:szCs w:val="21"/>
              </w:rPr>
              <w:t>其他规定</w:t>
            </w:r>
          </w:p>
        </w:tc>
        <w:tc>
          <w:tcPr>
            <w:tcW w:w="7542" w:type="dxa"/>
            <w:tcBorders>
              <w:top w:val="single" w:sz="4" w:space="0" w:color="auto"/>
              <w:left w:val="single" w:sz="4" w:space="0" w:color="auto"/>
              <w:bottom w:val="single" w:sz="4" w:space="0" w:color="auto"/>
              <w:right w:val="single" w:sz="4" w:space="0" w:color="auto"/>
            </w:tcBorders>
            <w:vAlign w:val="center"/>
          </w:tcPr>
          <w:p>
            <w:pPr>
              <w:spacing w:line="300" w:lineRule="auto"/>
              <w:rPr>
                <w:rFonts w:ascii="宋体" w:hAnsi="宋体"/>
                <w:color w:val="000000"/>
                <w:szCs w:val="21"/>
              </w:rPr>
            </w:pPr>
            <w:r>
              <w:rPr>
                <w:rFonts w:ascii="宋体" w:hAnsi="宋体" w:hint="eastAsia"/>
                <w:color w:val="000000"/>
                <w:szCs w:val="21"/>
              </w:rPr>
              <w:t>认购</w:t>
            </w:r>
            <w:r>
              <w:rPr>
                <w:rFonts w:ascii="宋体" w:hAnsi="宋体" w:cs="宋体" w:hint="eastAsia"/>
                <w:color w:val="000000"/>
                <w:szCs w:val="21"/>
              </w:rPr>
              <w:t>期内按照活期存款利率计息，</w:t>
            </w:r>
            <w:r>
              <w:rPr>
                <w:rFonts w:ascii="宋体" w:hAnsi="宋体" w:hint="eastAsia"/>
                <w:color w:val="000000"/>
                <w:szCs w:val="21"/>
              </w:rPr>
              <w:t>认购</w:t>
            </w:r>
            <w:r>
              <w:rPr>
                <w:rFonts w:ascii="宋体" w:hAnsi="宋体" w:cs="宋体" w:hint="eastAsia"/>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ascii="宋体" w:hAnsi="宋体" w:hint="eastAsia"/>
          <w:b/>
          <w:color w:val="000000"/>
          <w:szCs w:val="21"/>
        </w:rPr>
        <w:t>特别说明：</w:t>
      </w:r>
      <w:r>
        <w:rPr>
          <w:rFonts w:ascii="宋体" w:hAnsi="宋体" w:cs="宋体" w:hint="eastAsia"/>
          <w:b/>
          <w:color w:val="000000"/>
          <w:szCs w:val="21"/>
        </w:rPr>
        <w:t>本理财产品属于净值型理财产品，投资须谨慎。管理人对理财本金及收益不提供保证承诺，请投资者基于自身的独立判断进行投资决策。</w:t>
      </w:r>
    </w:p>
    <w:p>
      <w:pPr>
        <w:pStyle w:val="Subtitle"/>
        <w:numPr>
          <w:ilvl w:val="0"/>
          <w:numId w:val="2"/>
        </w:numPr>
        <w:spacing w:before="0" w:after="0" w:line="300" w:lineRule="auto"/>
        <w:jc w:val="both"/>
        <w:rPr>
          <w:rFonts w:cs="宋体"/>
          <w:color w:val="000000"/>
          <w:sz w:val="28"/>
          <w:szCs w:val="28"/>
        </w:rPr>
      </w:pPr>
      <w:r>
        <w:rPr>
          <w:rFonts w:cs="宋体" w:hint="eastAsia"/>
          <w:color w:val="000000"/>
          <w:sz w:val="28"/>
          <w:szCs w:val="28"/>
        </w:rPr>
        <w:t>产品投资</w:t>
      </w:r>
    </w:p>
    <w:p>
      <w:pPr>
        <w:pStyle w:val="Default"/>
        <w:numPr>
          <w:ilvl w:val="0"/>
          <w:numId w:val="4"/>
        </w:numPr>
        <w:adjustRightInd/>
        <w:spacing w:line="300" w:lineRule="auto"/>
        <w:rPr>
          <w:rFonts w:ascii="宋体" w:cs="宋体"/>
          <w:sz w:val="21"/>
          <w:szCs w:val="21"/>
        </w:rPr>
      </w:pPr>
      <w:r>
        <w:rPr>
          <w:rFonts w:ascii="宋体" w:cs="宋体" w:hint="eastAsia"/>
          <w:sz w:val="21"/>
          <w:szCs w:val="21"/>
        </w:rPr>
        <w:t>投资范围及投资比例：本理财产品主要投资于以下符合监管要求的各类资产：</w:t>
      </w:r>
    </w:p>
    <w:p>
      <w:pPr>
        <w:pStyle w:val="Default"/>
        <w:numPr>
          <w:ilvl w:val="0"/>
          <w:numId w:val="5"/>
        </w:numPr>
        <w:adjustRightInd/>
        <w:spacing w:line="300" w:lineRule="auto"/>
        <w:rPr>
          <w:rFonts w:ascii="宋体" w:cs="宋体"/>
          <w:sz w:val="21"/>
          <w:szCs w:val="21"/>
        </w:rPr>
      </w:pPr>
      <w:r>
        <w:rPr>
          <w:rFonts w:ascii="宋体" w:cs="宋体" w:hint="eastAsia"/>
          <w:sz w:val="21"/>
          <w:szCs w:val="21"/>
        </w:rPr>
        <w:t>固定收益类资产：投资比例</w:t>
      </w:r>
      <w:r>
        <w:rPr>
          <w:rFonts w:ascii="宋体" w:hAnsi="宋体" w:cs="宋体" w:hint="eastAsia"/>
          <w:sz w:val="21"/>
          <w:szCs w:val="21"/>
        </w:rPr>
        <w:t>〖80%-100%〗</w:t>
      </w:r>
      <w:r>
        <w:rPr>
          <w:rFonts w:ascii="宋体" w:cs="宋体" w:hint="eastAsia"/>
          <w:sz w:val="21"/>
          <w:szCs w:val="21"/>
        </w:rPr>
        <w:t>,包括但不限于各类债券、存款、货币市场金融工具等高流动性资产、债券基金、质押式及买断式回购，其他符合监管要求的固定收益类资产及资产管理产品；</w:t>
      </w:r>
    </w:p>
    <w:p>
      <w:pPr>
        <w:pStyle w:val="Default"/>
        <w:numPr>
          <w:ilvl w:val="0"/>
          <w:numId w:val="5"/>
        </w:numPr>
        <w:adjustRightInd/>
        <w:spacing w:line="300" w:lineRule="auto"/>
        <w:rPr>
          <w:rFonts w:ascii="宋体" w:cs="宋体"/>
          <w:sz w:val="21"/>
          <w:szCs w:val="21"/>
        </w:rPr>
      </w:pPr>
      <w:r>
        <w:rPr>
          <w:rFonts w:ascii="宋体" w:cs="宋体" w:hint="eastAsia"/>
          <w:sz w:val="21"/>
          <w:szCs w:val="21"/>
        </w:rPr>
        <w:t>其他符合监管要求的资产：投资比例</w:t>
      </w:r>
      <w:r>
        <w:rPr>
          <w:rFonts w:ascii="宋体" w:hAnsi="宋体" w:cs="宋体" w:hint="eastAsia"/>
          <w:sz w:val="21"/>
          <w:szCs w:val="21"/>
        </w:rPr>
        <w:t>〖0-20%〗</w:t>
      </w:r>
      <w:r>
        <w:rPr>
          <w:rFonts w:ascii="宋体" w:cs="宋体" w:hint="eastAsia"/>
          <w:sz w:val="21"/>
          <w:szCs w:val="21"/>
        </w:rPr>
        <w:t>,包括但不限于股票及股票型基金，其他符合监管要求的资产及资产管理产品。</w:t>
      </w:r>
    </w:p>
    <w:p>
      <w:pPr>
        <w:pStyle w:val="Default"/>
        <w:adjustRightInd/>
        <w:spacing w:line="300" w:lineRule="auto"/>
        <w:ind w:firstLine="399" w:firstLineChars="190"/>
        <w:rPr>
          <w:rFonts w:ascii="宋体" w:cs="宋体" w:hint="eastAsia"/>
          <w:b/>
          <w:sz w:val="21"/>
          <w:szCs w:val="21"/>
        </w:rPr>
      </w:pPr>
      <w:r>
        <w:rPr>
          <w:rFonts w:ascii="宋体" w:cs="宋体" w:hint="eastAsia"/>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Default"/>
        <w:numPr>
          <w:ilvl w:val="0"/>
          <w:numId w:val="6"/>
        </w:numPr>
        <w:adjustRightInd/>
        <w:spacing w:line="300" w:lineRule="auto"/>
        <w:rPr>
          <w:rFonts w:ascii="宋体" w:cs="宋体"/>
          <w:color w:val="auto"/>
          <w:sz w:val="21"/>
          <w:szCs w:val="21"/>
        </w:rPr>
      </w:pPr>
      <w:r>
        <w:rPr>
          <w:rFonts w:ascii="宋体" w:cs="宋体" w:hint="eastAsia"/>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Default"/>
        <w:numPr>
          <w:ilvl w:val="0"/>
          <w:numId w:val="7"/>
        </w:numPr>
        <w:tabs>
          <w:tab w:val="left" w:pos="0"/>
        </w:tabs>
        <w:spacing w:line="520" w:lineRule="exact"/>
        <w:ind w:firstLine="420" w:firstLineChars="200"/>
        <w:rPr>
          <w:rFonts w:ascii="宋体" w:hint="eastAsia"/>
          <w:color w:val="auto"/>
          <w:sz w:val="21"/>
          <w:szCs w:val="21"/>
        </w:rPr>
      </w:pPr>
      <w:r>
        <w:rPr>
          <w:rFonts w:ascii="宋体" w:cs="宋体" w:hint="eastAsia"/>
          <w:color w:val="auto"/>
          <w:sz w:val="21"/>
          <w:szCs w:val="21"/>
        </w:rPr>
        <w:t>投资模拟情况</w:t>
      </w:r>
    </w:p>
    <w:p>
      <w:pPr>
        <w:pStyle w:val="Default"/>
        <w:spacing w:line="520" w:lineRule="exact"/>
        <w:ind w:firstLine="420" w:firstLineChars="200"/>
        <w:rPr>
          <w:rFonts w:ascii="宋体" w:hint="eastAsia"/>
          <w:color w:val="auto"/>
          <w:sz w:val="21"/>
          <w:szCs w:val="21"/>
        </w:rPr>
      </w:pPr>
      <w:r>
        <w:rPr>
          <w:rFonts w:ascii="宋体" w:cs="宋体" w:hint="eastAsia"/>
          <w:color w:val="auto"/>
          <w:sz w:val="21"/>
          <w:szCs w:val="21"/>
        </w:rPr>
        <w:t>按下列投资品的市场收益率或公允估值进行历史模拟，测算收益率如下（</w:t>
      </w:r>
      <w:r>
        <w:rPr>
          <w:rFonts w:ascii="宋体" w:cs="宋体" w:hint="eastAsia"/>
          <w:b/>
          <w:color w:val="auto"/>
          <w:sz w:val="21"/>
          <w:szCs w:val="21"/>
        </w:rPr>
        <w:t>理财产品过往业绩不代表其未来表现，不等于理财产品实际收益，投资须谨慎</w:t>
      </w:r>
      <w:r>
        <w:rPr>
          <w:rFonts w:ascii="宋体" w:cs="宋体" w:hint="eastAsia"/>
          <w:color w:val="auto"/>
          <w:sz w:val="21"/>
          <w:szCs w:val="21"/>
        </w:rPr>
        <w:t>）：</w:t>
      </w:r>
    </w:p>
    <w:tbl>
      <w:tblPr>
        <w:tblStyle w:val="TableNormal"/>
        <w:jc w:val="center"/>
        <w:tblLayout w:type="fixed"/>
        <w:tblCellMar>
          <w:top w:w="15" w:type="dxa"/>
          <w:left w:w="15" w:type="dxa"/>
          <w:bottom w:w="15" w:type="dxa"/>
          <w:right w:w="15" w:type="dxa"/>
        </w:tblCellMar>
        <w:tblLook w:val="0000"/>
      </w:tblPr>
      <w:tblGrid>
        <w:gridCol w:w="3572"/>
        <w:gridCol w:w="2148"/>
        <w:gridCol w:w="3219"/>
      </w:tblGrid>
      <w:tr>
        <w:tblPrEx>
          <w:jc w:val="center"/>
          <w:tblLayout w:type="fixed"/>
          <w:tblCellMar>
            <w:top w:w="15" w:type="dxa"/>
            <w:left w:w="15" w:type="dxa"/>
            <w:bottom w:w="15" w:type="dxa"/>
            <w:right w:w="15" w:type="dxa"/>
          </w:tblCellMar>
          <w:tblLook w:val="0000"/>
        </w:tblPrEx>
        <w:trPr>
          <w:trHeight w:val="285"/>
          <w:jc w:val="center"/>
        </w:trPr>
        <w:tc>
          <w:tcPr>
            <w:tcW w:w="357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宋体"/>
                <w:sz w:val="18"/>
                <w:szCs w:val="18"/>
              </w:rPr>
            </w:pPr>
            <w:r>
              <w:rPr>
                <w:rFonts w:ascii="宋体" w:hAnsi="宋体" w:cs="宋体" w:hint="eastAsia"/>
                <w:kern w:val="0"/>
                <w:sz w:val="18"/>
                <w:szCs w:val="18"/>
              </w:rPr>
              <w:t>资产类型</w:t>
            </w:r>
          </w:p>
        </w:tc>
        <w:tc>
          <w:tcPr>
            <w:tcW w:w="214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sz w:val="18"/>
                <w:szCs w:val="18"/>
              </w:rPr>
            </w:pPr>
            <w:r>
              <w:rPr>
                <w:rFonts w:ascii="宋体" w:hAnsi="宋体" w:cs="宋体" w:hint="eastAsia"/>
                <w:kern w:val="0"/>
                <w:sz w:val="18"/>
                <w:szCs w:val="18"/>
              </w:rPr>
              <w:t>收益率</w:t>
            </w:r>
          </w:p>
        </w:tc>
        <w:tc>
          <w:tcPr>
            <w:tcW w:w="321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sz w:val="18"/>
                <w:szCs w:val="18"/>
              </w:rPr>
            </w:pPr>
            <w:r>
              <w:rPr>
                <w:rFonts w:ascii="宋体" w:hAnsi="宋体" w:cs="宋体" w:hint="eastAsia"/>
                <w:kern w:val="0"/>
                <w:sz w:val="18"/>
                <w:szCs w:val="18"/>
              </w:rPr>
              <w:t>权重</w:t>
            </w:r>
          </w:p>
        </w:tc>
      </w:tr>
      <w:tr>
        <w:tblPrEx>
          <w:jc w:val="center"/>
          <w:tblLayout w:type="fixed"/>
          <w:tblCellMar>
            <w:top w:w="15" w:type="dxa"/>
            <w:left w:w="15" w:type="dxa"/>
            <w:bottom w:w="15" w:type="dxa"/>
            <w:right w:w="15" w:type="dxa"/>
          </w:tblCellMar>
          <w:tblLook w:val="0000"/>
        </w:tblPrEx>
        <w:trPr>
          <w:trHeight w:val="285"/>
          <w:jc w:val="center"/>
        </w:trPr>
        <w:tc>
          <w:tcPr>
            <w:tcW w:w="357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宋体"/>
                <w:sz w:val="18"/>
                <w:szCs w:val="18"/>
              </w:rPr>
            </w:pPr>
            <w:r>
              <w:rPr>
                <w:rFonts w:ascii="宋体" w:hAnsi="宋体" w:cs="宋体" w:hint="eastAsia"/>
                <w:kern w:val="0"/>
                <w:sz w:val="18"/>
                <w:szCs w:val="18"/>
              </w:rPr>
              <w:t>货币市场类工具</w:t>
            </w:r>
          </w:p>
        </w:tc>
        <w:tc>
          <w:tcPr>
            <w:tcW w:w="214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sz w:val="18"/>
                <w:szCs w:val="18"/>
              </w:rPr>
            </w:pPr>
            <w:r>
              <w:rPr>
                <w:rFonts w:ascii="宋体" w:hAnsi="宋体" w:cs="宋体" w:hint="eastAsia"/>
                <w:kern w:val="0"/>
                <w:sz w:val="18"/>
                <w:szCs w:val="18"/>
              </w:rPr>
              <w:t>1.00</w:t>
            </w:r>
            <w:r>
              <w:rPr>
                <w:rFonts w:ascii="宋体" w:hAnsi="宋体" w:cs="宋体"/>
                <w:kern w:val="0"/>
                <w:sz w:val="18"/>
                <w:szCs w:val="18"/>
              </w:rPr>
              <w:t>%-4.</w:t>
            </w:r>
            <w:r>
              <w:rPr>
                <w:rFonts w:ascii="宋体" w:hAnsi="宋体" w:cs="宋体" w:hint="eastAsia"/>
                <w:kern w:val="0"/>
                <w:sz w:val="18"/>
                <w:szCs w:val="18"/>
              </w:rPr>
              <w:t>00</w:t>
            </w:r>
            <w:r>
              <w:rPr>
                <w:rFonts w:ascii="宋体" w:hAnsi="宋体" w:cs="宋体"/>
                <w:kern w:val="0"/>
                <w:sz w:val="18"/>
                <w:szCs w:val="18"/>
              </w:rPr>
              <w:t>%</w:t>
            </w:r>
          </w:p>
        </w:tc>
        <w:tc>
          <w:tcPr>
            <w:tcW w:w="321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jc w:val="center"/>
          <w:tblLayout w:type="fixed"/>
          <w:tblCellMar>
            <w:top w:w="15" w:type="dxa"/>
            <w:left w:w="15" w:type="dxa"/>
            <w:bottom w:w="15" w:type="dxa"/>
            <w:right w:w="15" w:type="dxa"/>
          </w:tblCellMar>
          <w:tblLook w:val="0000"/>
        </w:tblPrEx>
        <w:trPr>
          <w:trHeight w:val="285"/>
          <w:jc w:val="center"/>
        </w:trPr>
        <w:tc>
          <w:tcPr>
            <w:tcW w:w="357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宋体"/>
                <w:sz w:val="18"/>
                <w:szCs w:val="18"/>
              </w:rPr>
            </w:pPr>
            <w:r>
              <w:rPr>
                <w:rFonts w:ascii="宋体" w:hAnsi="宋体" w:cs="宋体" w:hint="eastAsia"/>
                <w:kern w:val="0"/>
                <w:sz w:val="18"/>
                <w:szCs w:val="18"/>
              </w:rPr>
              <w:t>债券</w:t>
            </w:r>
          </w:p>
        </w:tc>
        <w:tc>
          <w:tcPr>
            <w:tcW w:w="214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sz w:val="18"/>
                <w:szCs w:val="18"/>
              </w:rPr>
            </w:pPr>
            <w:r>
              <w:rPr>
                <w:rFonts w:ascii="宋体" w:hAnsi="宋体" w:cs="宋体" w:hint="eastAsia"/>
                <w:kern w:val="0"/>
                <w:sz w:val="18"/>
                <w:szCs w:val="18"/>
              </w:rPr>
              <w:t>3.00</w:t>
            </w:r>
            <w:r>
              <w:rPr>
                <w:rFonts w:ascii="宋体" w:hAnsi="宋体" w:cs="宋体"/>
                <w:kern w:val="0"/>
                <w:sz w:val="18"/>
                <w:szCs w:val="18"/>
              </w:rPr>
              <w:t>%-5</w:t>
            </w:r>
            <w:r>
              <w:rPr>
                <w:rFonts w:ascii="宋体" w:hAnsi="宋体" w:cs="宋体" w:hint="eastAsia"/>
                <w:kern w:val="0"/>
                <w:sz w:val="18"/>
                <w:szCs w:val="18"/>
              </w:rPr>
              <w:t>.00</w:t>
            </w:r>
            <w:r>
              <w:rPr>
                <w:rFonts w:ascii="宋体" w:hAnsi="宋体" w:cs="宋体"/>
                <w:kern w:val="0"/>
                <w:sz w:val="18"/>
                <w:szCs w:val="18"/>
              </w:rPr>
              <w:t>%</w:t>
            </w:r>
          </w:p>
        </w:tc>
        <w:tc>
          <w:tcPr>
            <w:tcW w:w="321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jc w:val="center"/>
          <w:tblLayout w:type="fixed"/>
          <w:tblCellMar>
            <w:top w:w="15" w:type="dxa"/>
            <w:left w:w="15" w:type="dxa"/>
            <w:bottom w:w="15" w:type="dxa"/>
            <w:right w:w="15" w:type="dxa"/>
          </w:tblCellMar>
          <w:tblLook w:val="0000"/>
        </w:tblPrEx>
        <w:trPr>
          <w:trHeight w:val="285"/>
          <w:jc w:val="center"/>
        </w:trPr>
        <w:tc>
          <w:tcPr>
            <w:tcW w:w="357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宋体"/>
                <w:sz w:val="18"/>
                <w:szCs w:val="18"/>
              </w:rPr>
            </w:pPr>
            <w:r>
              <w:rPr>
                <w:rFonts w:ascii="宋体" w:hAnsi="宋体" w:cs="宋体" w:hint="eastAsia"/>
                <w:kern w:val="0"/>
                <w:sz w:val="18"/>
                <w:szCs w:val="18"/>
              </w:rPr>
              <w:t>其他符合监管规定的债权类资产</w:t>
            </w:r>
          </w:p>
        </w:tc>
        <w:tc>
          <w:tcPr>
            <w:tcW w:w="2148"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sz w:val="18"/>
                <w:szCs w:val="18"/>
              </w:rPr>
            </w:pPr>
            <w:r>
              <w:rPr>
                <w:rFonts w:ascii="宋体" w:hAnsi="宋体" w:cs="宋体" w:hint="eastAsia"/>
                <w:kern w:val="0"/>
                <w:sz w:val="18"/>
                <w:szCs w:val="18"/>
              </w:rPr>
              <w:t>5.00</w:t>
            </w:r>
            <w:r>
              <w:rPr>
                <w:rFonts w:ascii="宋体" w:hAnsi="宋体" w:cs="宋体"/>
                <w:kern w:val="0"/>
                <w:sz w:val="18"/>
                <w:szCs w:val="18"/>
              </w:rPr>
              <w:t>%-</w:t>
            </w:r>
            <w:r>
              <w:rPr>
                <w:rFonts w:ascii="宋体" w:hAnsi="宋体" w:cs="宋体" w:hint="eastAsia"/>
                <w:kern w:val="0"/>
                <w:sz w:val="18"/>
                <w:szCs w:val="18"/>
              </w:rPr>
              <w:t>8.00</w:t>
            </w:r>
            <w:r>
              <w:rPr>
                <w:rFonts w:ascii="宋体" w:hAnsi="宋体" w:cs="宋体"/>
                <w:kern w:val="0"/>
                <w:sz w:val="18"/>
                <w:szCs w:val="18"/>
              </w:rPr>
              <w:t>%</w:t>
            </w:r>
          </w:p>
        </w:tc>
        <w:tc>
          <w:tcPr>
            <w:tcW w:w="3219"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ascii="宋体" w:hAnsi="宋体" w:cs="宋体" w:hint="eastAsia"/>
                <w:kern w:val="0"/>
                <w:sz w:val="18"/>
                <w:szCs w:val="18"/>
              </w:rPr>
              <w:t>50</w:t>
            </w:r>
            <w:r>
              <w:rPr>
                <w:rFonts w:ascii="宋体" w:hAnsi="宋体" w:cs="宋体"/>
                <w:kern w:val="0"/>
                <w:sz w:val="18"/>
                <w:szCs w:val="18"/>
              </w:rPr>
              <w:t>%</w:t>
            </w:r>
          </w:p>
        </w:tc>
      </w:tr>
      <w:tr>
        <w:tblPrEx>
          <w:jc w:val="center"/>
          <w:tblLayout w:type="fixed"/>
          <w:tblCellMar>
            <w:top w:w="15" w:type="dxa"/>
            <w:left w:w="15" w:type="dxa"/>
            <w:bottom w:w="15" w:type="dxa"/>
            <w:right w:w="15" w:type="dxa"/>
          </w:tblCellMar>
          <w:tblLook w:val="0000"/>
        </w:tblPrEx>
        <w:trPr>
          <w:trHeight w:val="285"/>
          <w:jc w:val="center"/>
        </w:trPr>
        <w:tc>
          <w:tcPr>
            <w:tcW w:w="3572" w:type="dxa"/>
            <w:tcBorders>
              <w:top w:val="single" w:sz="4" w:space="0" w:color="000000"/>
              <w:left w:val="single" w:sz="4" w:space="0" w:color="000000"/>
              <w:right w:val="single" w:sz="4" w:space="0" w:color="000000"/>
            </w:tcBorders>
            <w:vAlign w:val="center"/>
          </w:tcPr>
          <w:p>
            <w:pPr>
              <w:widowControl/>
              <w:jc w:val="left"/>
              <w:textAlignment w:val="center"/>
              <w:rPr>
                <w:rFonts w:ascii="宋体"/>
                <w:sz w:val="18"/>
                <w:szCs w:val="18"/>
              </w:rPr>
            </w:pPr>
            <w:r>
              <w:rPr>
                <w:rFonts w:ascii="宋体" w:hAnsi="宋体" w:cs="宋体" w:hint="eastAsia"/>
                <w:kern w:val="0"/>
                <w:sz w:val="18"/>
                <w:szCs w:val="18"/>
              </w:rPr>
              <w:t>其他符合监管规定的资管计划</w:t>
            </w:r>
          </w:p>
        </w:tc>
        <w:tc>
          <w:tcPr>
            <w:tcW w:w="2148" w:type="dxa"/>
            <w:tcBorders>
              <w:top w:val="single" w:sz="4" w:space="0" w:color="000000"/>
              <w:left w:val="single" w:sz="4" w:space="0" w:color="000000"/>
              <w:right w:val="single" w:sz="4" w:space="0" w:color="000000"/>
            </w:tcBorders>
            <w:vAlign w:val="center"/>
          </w:tcPr>
          <w:p>
            <w:pPr>
              <w:widowControl/>
              <w:jc w:val="center"/>
              <w:textAlignment w:val="center"/>
              <w:rPr>
                <w:rFonts w:ascii="宋体"/>
                <w:sz w:val="18"/>
                <w:szCs w:val="18"/>
              </w:rPr>
            </w:pPr>
            <w:r>
              <w:rPr>
                <w:rFonts w:ascii="宋体" w:hAnsi="宋体" w:cs="宋体" w:hint="eastAsia"/>
                <w:kern w:val="0"/>
                <w:sz w:val="18"/>
                <w:szCs w:val="18"/>
              </w:rPr>
              <w:t>3.00</w:t>
            </w:r>
            <w:r>
              <w:rPr>
                <w:rFonts w:ascii="宋体" w:hAnsi="宋体" w:cs="宋体"/>
                <w:kern w:val="0"/>
                <w:sz w:val="18"/>
                <w:szCs w:val="18"/>
              </w:rPr>
              <w:t>%-</w:t>
            </w:r>
            <w:r>
              <w:rPr>
                <w:rFonts w:ascii="宋体" w:hAnsi="宋体" w:cs="宋体" w:hint="eastAsia"/>
                <w:kern w:val="0"/>
                <w:sz w:val="18"/>
                <w:szCs w:val="18"/>
              </w:rPr>
              <w:t>8.00</w:t>
            </w:r>
            <w:r>
              <w:rPr>
                <w:rFonts w:ascii="宋体" w:hAnsi="宋体" w:cs="宋体"/>
                <w:kern w:val="0"/>
                <w:sz w:val="18"/>
                <w:szCs w:val="18"/>
              </w:rPr>
              <w:t>%</w:t>
            </w:r>
          </w:p>
        </w:tc>
        <w:tc>
          <w:tcPr>
            <w:tcW w:w="3219" w:type="dxa"/>
            <w:tcBorders>
              <w:top w:val="single" w:sz="4" w:space="0" w:color="000000"/>
              <w:left w:val="single" w:sz="4" w:space="0" w:color="000000"/>
              <w:right w:val="single" w:sz="4" w:space="0" w:color="00000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jc w:val="center"/>
          <w:tblLayout w:type="fixed"/>
          <w:tblCellMar>
            <w:top w:w="15" w:type="dxa"/>
            <w:left w:w="15" w:type="dxa"/>
            <w:bottom w:w="15" w:type="dxa"/>
            <w:right w:w="15" w:type="dxa"/>
          </w:tblCellMar>
          <w:tblLook w:val="0000"/>
        </w:tblPrEx>
        <w:trPr>
          <w:trHeight w:val="285"/>
          <w:jc w:val="center"/>
        </w:trPr>
        <w:tc>
          <w:tcPr>
            <w:tcW w:w="3572" w:type="dxa"/>
            <w:tcBorders>
              <w:top w:val="single" w:sz="4" w:space="0" w:color="000000"/>
              <w:left w:val="single" w:sz="4" w:space="0" w:color="000000"/>
              <w:bottom w:val="single" w:sz="4" w:space="0" w:color="000000"/>
              <w:right w:val="single" w:sz="4" w:space="0" w:color="000000"/>
            </w:tcBorders>
            <w:vAlign w:val="center"/>
          </w:tcPr>
          <w:p>
            <w:pPr>
              <w:widowControl/>
              <w:jc w:val="left"/>
              <w:textAlignment w:val="center"/>
              <w:rPr>
                <w:rFonts w:ascii="宋体"/>
                <w:sz w:val="18"/>
                <w:szCs w:val="18"/>
              </w:rPr>
            </w:pPr>
            <w:r>
              <w:rPr>
                <w:rFonts w:ascii="宋体" w:hAnsi="宋体" w:cs="宋体" w:hint="eastAsia"/>
                <w:kern w:val="0"/>
                <w:sz w:val="18"/>
                <w:szCs w:val="18"/>
              </w:rPr>
              <w:t>历史数据投资组合模拟收益</w:t>
            </w:r>
          </w:p>
        </w:tc>
        <w:tc>
          <w:tcPr>
            <w:tcW w:w="5367"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sz w:val="18"/>
                <w:szCs w:val="18"/>
              </w:rPr>
            </w:pPr>
            <w:r>
              <w:rPr>
                <w:rFonts w:ascii="宋体" w:hAnsi="宋体" w:cs="宋体" w:hint="eastAsia"/>
                <w:kern w:val="0"/>
                <w:sz w:val="18"/>
                <w:szCs w:val="18"/>
              </w:rPr>
              <w:t>3.00</w:t>
            </w:r>
            <w:r>
              <w:rPr>
                <w:rFonts w:ascii="宋体" w:hAnsi="宋体" w:cs="宋体"/>
                <w:kern w:val="0"/>
                <w:sz w:val="18"/>
                <w:szCs w:val="18"/>
              </w:rPr>
              <w:t>%-</w:t>
            </w:r>
            <w:r>
              <w:rPr>
                <w:rFonts w:ascii="宋体" w:hAnsi="宋体" w:cs="宋体" w:hint="eastAsia"/>
                <w:kern w:val="0"/>
                <w:sz w:val="18"/>
                <w:szCs w:val="18"/>
              </w:rPr>
              <w:t>6.00</w:t>
            </w:r>
            <w:r>
              <w:rPr>
                <w:rFonts w:ascii="宋体" w:hAnsi="宋体" w:cs="宋体"/>
                <w:kern w:val="0"/>
                <w:sz w:val="18"/>
                <w:szCs w:val="18"/>
              </w:rPr>
              <w:t>%</w:t>
            </w:r>
          </w:p>
        </w:tc>
      </w:tr>
      <w:tr>
        <w:tblPrEx>
          <w:jc w:val="center"/>
          <w:tblLayout w:type="fixed"/>
          <w:tblCellMar>
            <w:top w:w="15" w:type="dxa"/>
            <w:left w:w="15" w:type="dxa"/>
            <w:bottom w:w="15" w:type="dxa"/>
            <w:right w:w="15" w:type="dxa"/>
          </w:tblCellMar>
          <w:tblLook w:val="0000"/>
        </w:tblPrEx>
        <w:trPr>
          <w:trHeight w:val="285"/>
          <w:jc w:val="center"/>
        </w:trPr>
        <w:tc>
          <w:tcPr>
            <w:tcW w:w="8939" w:type="dxa"/>
            <w:gridSpan w:val="3"/>
            <w:vAlign w:val="center"/>
          </w:tcPr>
          <w:p>
            <w:pPr>
              <w:widowControl/>
              <w:jc w:val="left"/>
              <w:textAlignment w:val="center"/>
              <w:rPr>
                <w:rFonts w:ascii="宋体" w:hAnsi="宋体" w:cs="宋体"/>
                <w:kern w:val="0"/>
                <w:sz w:val="18"/>
                <w:szCs w:val="18"/>
              </w:rPr>
            </w:pPr>
            <w:r>
              <w:rPr>
                <w:rFonts w:ascii="宋体" w:hAnsi="宋体" w:cs="宋体" w:hint="eastAsia"/>
                <w:kern w:val="0"/>
                <w:sz w:val="18"/>
                <w:szCs w:val="18"/>
              </w:rPr>
              <w:t>注：如投资品在上述期间无市场成交收益率或公允估值，则市场收益率以市场报价数据为准。</w:t>
            </w:r>
          </w:p>
        </w:tc>
      </w:tr>
    </w:tbl>
    <w:p>
      <w:pPr>
        <w:pStyle w:val="Default"/>
        <w:adjustRightInd/>
        <w:spacing w:line="300" w:lineRule="auto"/>
        <w:ind w:left="420"/>
        <w:rPr>
          <w:rFonts w:ascii="宋体" w:cs="宋体"/>
          <w:color w:val="auto"/>
          <w:sz w:val="21"/>
          <w:szCs w:val="21"/>
        </w:rPr>
      </w:pPr>
    </w:p>
    <w:p>
      <w:pPr>
        <w:pStyle w:val="Subtitle"/>
        <w:numPr>
          <w:ilvl w:val="0"/>
          <w:numId w:val="2"/>
        </w:numPr>
        <w:spacing w:before="0" w:after="0" w:line="300" w:lineRule="auto"/>
        <w:jc w:val="both"/>
        <w:rPr>
          <w:rFonts w:cs="宋体"/>
          <w:color w:val="000000"/>
          <w:sz w:val="28"/>
          <w:szCs w:val="28"/>
        </w:rPr>
      </w:pPr>
      <w:r>
        <w:rPr>
          <w:rFonts w:cs="宋体" w:hint="eastAsia"/>
          <w:color w:val="000000"/>
          <w:sz w:val="28"/>
          <w:szCs w:val="28"/>
        </w:rPr>
        <w:t>理财产品估值</w:t>
      </w:r>
    </w:p>
    <w:p>
      <w:pPr>
        <w:numPr>
          <w:ilvl w:val="0"/>
          <w:numId w:val="8"/>
        </w:numPr>
        <w:spacing w:line="300" w:lineRule="auto"/>
        <w:rPr>
          <w:rFonts w:ascii="宋体" w:hAnsi="宋体" w:cs="宋体"/>
          <w:color w:val="000000"/>
          <w:kern w:val="0"/>
          <w:szCs w:val="21"/>
        </w:rPr>
      </w:pPr>
      <w:r>
        <w:rPr>
          <w:rFonts w:ascii="宋体" w:hAnsi="宋体" w:cs="宋体" w:hint="eastAsia"/>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ascii="宋体" w:hAnsi="宋体" w:cs="宋体" w:hint="eastAsia"/>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ascii="宋体" w:hAnsi="宋体" w:cs="宋体" w:hint="eastAsia"/>
          <w:color w:val="000000"/>
          <w:kern w:val="0"/>
          <w:szCs w:val="21"/>
        </w:rPr>
        <w:t>估值对象</w:t>
      </w:r>
    </w:p>
    <w:p>
      <w:pPr>
        <w:spacing w:line="300" w:lineRule="auto"/>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color w:val="000000"/>
          <w:kern w:val="0"/>
          <w:szCs w:val="21"/>
        </w:rPr>
        <w:t xml:space="preserve"> </w:t>
      </w:r>
      <w:r>
        <w:rPr>
          <w:rFonts w:ascii="宋体" w:hAnsi="宋体" w:cs="宋体" w:hint="eastAsia"/>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ascii="宋体" w:hAnsi="宋体" w:cs="宋体" w:hint="eastAsia"/>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ascii="宋体" w:hAnsi="宋体" w:cs="宋体" w:hint="eastAsia"/>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ascii="宋体" w:hAnsi="宋体" w:cs="宋体" w:hint="eastAsia"/>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ascii="宋体" w:hAnsi="宋体" w:cs="宋体" w:hint="eastAsia"/>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ascii="宋体" w:hAnsi="宋体" w:cs="宋体" w:hint="eastAsia"/>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ascii="宋体" w:hAnsi="宋体" w:cs="宋体" w:hint="eastAsia"/>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ascii="宋体" w:hAnsi="宋体" w:cs="宋体" w:hint="eastAsia"/>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ascii="宋体" w:hAnsi="宋体" w:cs="宋体" w:hint="eastAsia"/>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ascii="宋体" w:hAnsi="宋体" w:cs="宋体" w:hint="eastAsia"/>
          <w:color w:val="000000"/>
          <w:kern w:val="0"/>
          <w:szCs w:val="21"/>
        </w:rPr>
        <w:t xml:space="preserve">    （2）货币基金以最新基金净值估值；</w:t>
      </w:r>
    </w:p>
    <w:p>
      <w:pPr>
        <w:spacing w:line="300" w:lineRule="auto"/>
        <w:rPr>
          <w:rFonts w:ascii="宋体" w:hAnsi="宋体" w:cs="宋体"/>
          <w:color w:val="000000"/>
          <w:kern w:val="0"/>
          <w:szCs w:val="21"/>
        </w:rPr>
      </w:pPr>
      <w:r>
        <w:rPr>
          <w:rFonts w:ascii="宋体" w:hAnsi="宋体" w:cs="宋体" w:hint="eastAsia"/>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ascii="宋体" w:hAnsi="宋体" w:cs="宋体" w:hint="eastAsia"/>
          <w:color w:val="000000"/>
          <w:kern w:val="0"/>
          <w:szCs w:val="21"/>
        </w:rPr>
        <w:t>权益类资产的估值方法</w:t>
      </w:r>
    </w:p>
    <w:p>
      <w:pPr>
        <w:spacing w:line="300" w:lineRule="auto"/>
        <w:rPr>
          <w:rFonts w:ascii="宋体" w:hAnsi="宋体" w:cs="宋体"/>
          <w:color w:val="000000"/>
          <w:kern w:val="0"/>
          <w:szCs w:val="21"/>
        </w:rPr>
      </w:pPr>
      <w:r>
        <w:rPr>
          <w:rFonts w:ascii="宋体" w:hAnsi="宋体" w:cs="宋体" w:hint="eastAsia"/>
          <w:color w:val="000000"/>
          <w:kern w:val="0"/>
          <w:szCs w:val="21"/>
        </w:rPr>
        <w:t xml:space="preserve">   （1）上市公司股票按市价估值；</w:t>
      </w:r>
    </w:p>
    <w:p>
      <w:pPr>
        <w:spacing w:line="300" w:lineRule="auto"/>
        <w:rPr>
          <w:rFonts w:ascii="宋体" w:hAnsi="宋体" w:cs="宋体" w:hint="eastAsia"/>
          <w:kern w:val="0"/>
          <w:szCs w:val="21"/>
        </w:rPr>
      </w:pPr>
      <w:r>
        <w:rPr>
          <w:rFonts w:ascii="宋体" w:hAnsi="宋体" w:cs="宋体" w:hint="eastAsia"/>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ascii="宋体" w:hAnsi="宋体" w:cs="宋体" w:hint="eastAsia"/>
          <w:color w:val="000000"/>
          <w:kern w:val="0"/>
          <w:szCs w:val="21"/>
        </w:rPr>
        <w:t>非标准化债权资产的估值方法</w:t>
      </w:r>
    </w:p>
    <w:p>
      <w:pPr>
        <w:spacing w:line="300" w:lineRule="auto"/>
        <w:rPr>
          <w:rFonts w:ascii="宋体" w:hAnsi="宋体" w:cs="宋体"/>
          <w:kern w:val="0"/>
          <w:szCs w:val="21"/>
          <w:highlight w:val="yellow"/>
        </w:rPr>
      </w:pPr>
      <w:r>
        <w:rPr>
          <w:rFonts w:ascii="宋体" w:hAnsi="宋体" w:cs="宋体" w:hint="eastAsia"/>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ascii="宋体" w:hAnsi="宋体" w:cs="宋体" w:hint="eastAsia"/>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ascii="宋体" w:hAnsi="宋体" w:cs="宋体" w:hint="eastAsia"/>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ascii="宋体" w:hAnsi="宋体" w:cs="宋体" w:hint="eastAsia"/>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ascii="宋体" w:hAnsi="宋体" w:cs="宋体" w:hint="eastAsia"/>
          <w:color w:val="000000"/>
          <w:kern w:val="0"/>
          <w:szCs w:val="21"/>
        </w:rPr>
        <w:t>估值差错处理</w:t>
      </w:r>
    </w:p>
    <w:p>
      <w:pPr>
        <w:spacing w:line="300" w:lineRule="auto"/>
        <w:rPr>
          <w:rFonts w:ascii="宋体" w:hAnsi="宋体" w:cs="宋体"/>
          <w:color w:val="000000"/>
          <w:kern w:val="0"/>
          <w:szCs w:val="21"/>
        </w:rPr>
      </w:pPr>
      <w:r>
        <w:rPr>
          <w:rFonts w:ascii="宋体" w:hAnsi="宋体" w:cs="宋体" w:hint="eastAsia"/>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ascii="宋体" w:hAnsi="宋体" w:cs="宋体" w:hint="eastAsia"/>
          <w:color w:val="000000"/>
          <w:kern w:val="0"/>
          <w:szCs w:val="21"/>
        </w:rPr>
        <w:t>资产账册的建立</w:t>
      </w:r>
    </w:p>
    <w:p>
      <w:pPr>
        <w:spacing w:line="300" w:lineRule="auto"/>
        <w:rPr>
          <w:rFonts w:ascii="宋体" w:hAnsi="宋体" w:cs="宋体"/>
          <w:color w:val="000000"/>
          <w:kern w:val="0"/>
          <w:szCs w:val="21"/>
        </w:rPr>
      </w:pPr>
      <w:r>
        <w:rPr>
          <w:rFonts w:ascii="宋体" w:hAnsi="宋体" w:cs="宋体" w:hint="eastAsia"/>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Subtitle"/>
        <w:numPr>
          <w:ilvl w:val="0"/>
          <w:numId w:val="2"/>
        </w:numPr>
        <w:spacing w:before="0" w:after="0" w:line="300" w:lineRule="auto"/>
        <w:jc w:val="both"/>
        <w:rPr>
          <w:rFonts w:cs="宋体"/>
          <w:color w:val="000000"/>
          <w:sz w:val="28"/>
          <w:szCs w:val="28"/>
        </w:rPr>
      </w:pPr>
      <w:r>
        <w:rPr>
          <w:rFonts w:cs="宋体" w:hint="eastAsia"/>
          <w:color w:val="000000"/>
          <w:sz w:val="28"/>
          <w:szCs w:val="28"/>
        </w:rPr>
        <w:t>理财收益测算</w:t>
      </w:r>
    </w:p>
    <w:p>
      <w:pPr>
        <w:numPr>
          <w:ilvl w:val="0"/>
          <w:numId w:val="13"/>
        </w:numPr>
        <w:spacing w:line="300" w:lineRule="auto"/>
        <w:rPr>
          <w:rFonts w:ascii="宋体" w:hAnsi="宋体" w:cs="宋体"/>
          <w:color w:val="000000"/>
          <w:kern w:val="0"/>
          <w:szCs w:val="21"/>
        </w:rPr>
      </w:pPr>
      <w:r>
        <w:rPr>
          <w:rFonts w:ascii="宋体" w:hAnsi="宋体" w:cs="宋体" w:hint="eastAsia"/>
          <w:color w:val="000000"/>
          <w:kern w:val="0"/>
          <w:szCs w:val="21"/>
        </w:rPr>
        <w:t>计算公式</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ascii="宋体" w:hAnsi="宋体" w:cs="宋体" w:hint="eastAsia"/>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ascii="宋体" w:hAnsi="宋体" w:hint="eastAsia"/>
          <w:color w:val="000000"/>
          <w:szCs w:val="21"/>
        </w:rPr>
        <w:t>销售服务费</w:t>
      </w:r>
    </w:p>
    <w:p>
      <w:pPr>
        <w:widowControl/>
        <w:spacing w:line="300" w:lineRule="auto"/>
        <w:contextualSpacing/>
        <w:outlineLvl w:val="0"/>
        <w:rPr>
          <w:rFonts w:ascii="宋体" w:hAnsi="宋体" w:hint="eastAsia"/>
          <w:color w:val="000000"/>
          <w:szCs w:val="21"/>
        </w:rPr>
      </w:pPr>
      <w:r>
        <w:rPr>
          <w:rFonts w:ascii="宋体" w:hAnsi="宋体" w:hint="eastAsia"/>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C份额理财计划财产的年化销售服务费率为0.20%,D份额理财计划财产的年化销售服务费率为0 %,E份额理财计划财产的年化销售服务费率为0%,以A份额为例计算方法如下：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ascii="宋体" w:hAnsi="宋体" w:hint="eastAsia"/>
          <w:color w:val="000000"/>
          <w:szCs w:val="21"/>
        </w:rPr>
        <w:t>H＝E*0.20％/365</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ascii="宋体" w:hAnsi="宋体" w:hint="eastAsia"/>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ascii="宋体" w:hAnsi="宋体" w:hint="eastAsia"/>
          <w:color w:val="000000"/>
          <w:szCs w:val="21"/>
        </w:rPr>
        <w:t>托管费</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H＝E*0.025％/365</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H为每日应计提的托管费</w:t>
      </w:r>
    </w:p>
    <w:p>
      <w:pPr>
        <w:widowControl/>
        <w:spacing w:line="300" w:lineRule="auto"/>
        <w:ind w:firstLine="420"/>
        <w:contextualSpacing/>
        <w:outlineLvl w:val="0"/>
        <w:rPr>
          <w:rFonts w:ascii="宋体" w:hAnsi="宋体" w:hint="eastAsia"/>
          <w:color w:val="000000"/>
          <w:szCs w:val="21"/>
        </w:rPr>
      </w:pPr>
      <w:r>
        <w:rPr>
          <w:rFonts w:ascii="宋体" w:hAnsi="宋体" w:hint="eastAsia"/>
          <w:color w:val="000000"/>
          <w:szCs w:val="21"/>
        </w:rPr>
        <w:t>E为A份额</w:t>
      </w:r>
      <w:r>
        <w:rPr>
          <w:rFonts w:hint="eastAsia"/>
        </w:rPr>
        <w:t>前一日资产净值</w:t>
      </w:r>
      <w:r>
        <w:rPr>
          <w:rFonts w:ascii="宋体" w:hAnsi="宋体" w:hint="eastAsia"/>
          <w:color w:val="000000"/>
          <w:szCs w:val="21"/>
        </w:rPr>
        <w:t xml:space="preserve">    </w:t>
      </w:r>
    </w:p>
    <w:p>
      <w:pPr>
        <w:widowControl/>
        <w:spacing w:line="300" w:lineRule="auto"/>
        <w:ind w:firstLine="420"/>
        <w:contextualSpacing/>
        <w:outlineLvl w:val="0"/>
        <w:rPr>
          <w:rFonts w:ascii="宋体" w:hAnsi="宋体"/>
          <w:color w:val="000000"/>
          <w:szCs w:val="21"/>
        </w:rPr>
      </w:pPr>
      <w:r>
        <w:rPr>
          <w:rFonts w:ascii="宋体" w:hAnsi="宋体" w:hint="eastAsia"/>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ascii="宋体" w:hAnsi="宋体" w:hint="eastAsia"/>
          <w:color w:val="000000"/>
          <w:szCs w:val="21"/>
        </w:rPr>
        <w:t>固定管理费</w:t>
      </w:r>
    </w:p>
    <w:p>
      <w:pPr>
        <w:widowControl/>
        <w:spacing w:line="300" w:lineRule="auto"/>
        <w:contextualSpacing/>
        <w:outlineLvl w:val="0"/>
        <w:rPr>
          <w:rFonts w:ascii="宋体" w:hAnsi="宋体" w:hint="eastAsia"/>
          <w:color w:val="000000"/>
          <w:szCs w:val="21"/>
        </w:rPr>
      </w:pPr>
      <w:r>
        <w:rPr>
          <w:rFonts w:ascii="宋体" w:hAnsi="宋体" w:hint="eastAsia"/>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C份额理财计划财产的年化固定管理费率为0.20%，D份额理财计划财产的年化固定管理费率为0.20%，E份额理财计划财产的年化固定管理费率为0%，以A份额为例计算方法如下：</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H＝E*0.40％/365</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H为每日应计提的固定管理费</w:t>
      </w:r>
    </w:p>
    <w:p>
      <w:pPr>
        <w:widowControl/>
        <w:spacing w:line="300" w:lineRule="auto"/>
        <w:ind w:firstLine="420"/>
        <w:contextualSpacing/>
        <w:outlineLvl w:val="0"/>
        <w:rPr>
          <w:rFonts w:hint="eastAsia"/>
        </w:rPr>
      </w:pPr>
      <w:r>
        <w:rPr>
          <w:rFonts w:ascii="宋体" w:hAnsi="宋体" w:hint="eastAsia"/>
          <w:color w:val="000000"/>
          <w:szCs w:val="21"/>
        </w:rPr>
        <w:t>E为A份额</w:t>
      </w:r>
      <w:r>
        <w:rPr>
          <w:rFonts w:hint="eastAsia"/>
        </w:rPr>
        <w:t>前一日资产净值</w:t>
      </w:r>
    </w:p>
    <w:p>
      <w:pPr>
        <w:widowControl/>
        <w:spacing w:line="300" w:lineRule="auto"/>
        <w:ind w:firstLine="420"/>
        <w:contextualSpacing/>
        <w:outlineLvl w:val="0"/>
        <w:rPr>
          <w:rFonts w:ascii="宋体" w:hAnsi="宋体" w:hint="eastAsia"/>
          <w:color w:val="000000"/>
          <w:szCs w:val="21"/>
        </w:rPr>
      </w:pPr>
      <w:r>
        <w:rPr>
          <w:rFonts w:ascii="宋体" w:hAnsi="宋体" w:hint="eastAsia"/>
          <w:color w:val="000000"/>
          <w:szCs w:val="21"/>
        </w:rPr>
        <w:t>固定管理费原则上按日计提，</w:t>
      </w:r>
      <w:r>
        <w:rPr>
          <w:rFonts w:ascii="宋体" w:hAnsi="宋体" w:hint="eastAsia"/>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ascii="宋体" w:hAnsi="宋体" w:hint="eastAsia"/>
          <w:color w:val="000000"/>
          <w:szCs w:val="21"/>
        </w:rPr>
        <w:t>浮动管理费</w:t>
      </w:r>
    </w:p>
    <w:p>
      <w:pPr>
        <w:widowControl/>
        <w:spacing w:line="300" w:lineRule="auto"/>
        <w:contextualSpacing/>
        <w:outlineLvl w:val="0"/>
        <w:rPr>
          <w:rFonts w:ascii="宋体" w:hAnsi="宋体" w:cs="宋体"/>
          <w:bCs/>
          <w:color w:val="000000"/>
          <w:szCs w:val="21"/>
        </w:rPr>
      </w:pPr>
      <w:r>
        <w:rPr>
          <w:rFonts w:ascii="宋体" w:hAnsi="宋体" w:hint="eastAsia"/>
          <w:color w:val="000000"/>
          <w:szCs w:val="21"/>
        </w:rPr>
        <w:t xml:space="preserve">    理财管理人根据理财计划投资情况计算浮动管理费，</w:t>
      </w:r>
      <w:r>
        <w:rPr>
          <w:rFonts w:ascii="宋体" w:hAnsi="宋体" w:cs="宋体" w:hint="eastAsia"/>
          <w:bCs/>
          <w:color w:val="000000"/>
          <w:szCs w:val="21"/>
        </w:rPr>
        <w:t>本理财产品到期日（提前终止日）</w:t>
      </w:r>
      <w:r>
        <w:rPr>
          <w:rFonts w:ascii="宋体" w:hAnsi="宋体" w:cs="宋体" w:hint="eastAsia"/>
          <w:color w:val="000000"/>
          <w:szCs w:val="21"/>
        </w:rPr>
        <w:t>的折合年化收益率</w:t>
      </w:r>
      <w:r>
        <w:rPr>
          <w:rFonts w:ascii="宋体" w:hAnsi="宋体" w:hint="eastAsia"/>
          <w:color w:val="000000"/>
          <w:szCs w:val="21"/>
        </w:rPr>
        <w:t>超过业绩比较基准的部分管理人</w:t>
      </w:r>
      <w:r>
        <w:rPr>
          <w:rFonts w:ascii="宋体" w:hAnsi="宋体" w:hint="eastAsia"/>
          <w:b/>
          <w:color w:val="000000"/>
          <w:szCs w:val="21"/>
        </w:rPr>
        <w:t>提取80%作为浮动管理费</w:t>
      </w:r>
      <w:r>
        <w:rPr>
          <w:rFonts w:ascii="宋体" w:hAnsi="宋体" w:hint="eastAsia"/>
          <w:color w:val="000000"/>
          <w:szCs w:val="21"/>
        </w:rPr>
        <w:t>。</w:t>
      </w:r>
      <w:r>
        <w:rPr>
          <w:rFonts w:ascii="宋体" w:hAnsi="宋体" w:cs="宋体" w:hint="eastAsia"/>
          <w:bCs/>
          <w:color w:val="000000"/>
          <w:szCs w:val="21"/>
        </w:rPr>
        <w:t>本理财产品到期日（提前终止日）</w:t>
      </w:r>
      <w:r>
        <w:rPr>
          <w:rFonts w:ascii="宋体" w:hAnsi="宋体" w:cs="宋体" w:hint="eastAsia"/>
          <w:color w:val="000000"/>
          <w:szCs w:val="21"/>
        </w:rPr>
        <w:t>的折合年化收益率</w:t>
      </w:r>
      <w:r>
        <w:rPr>
          <w:rFonts w:ascii="宋体" w:hAnsi="宋体" w:cs="宋体" w:hint="eastAsia"/>
          <w:bCs/>
          <w:color w:val="000000"/>
          <w:szCs w:val="21"/>
        </w:rPr>
        <w:t>若小于或等于业绩比较基准则不收取浮动管理费。</w:t>
      </w:r>
      <w:r>
        <w:rPr>
          <w:rFonts w:ascii="宋体" w:hAnsi="宋体" w:hint="eastAsia"/>
          <w:color w:val="000000"/>
          <w:szCs w:val="21"/>
        </w:rPr>
        <w:t>以A份额为例</w:t>
      </w:r>
      <w:r>
        <w:rPr>
          <w:rFonts w:ascii="宋体" w:hAnsi="宋体" w:cs="宋体" w:hint="eastAsia"/>
          <w:bCs/>
          <w:color w:val="000000"/>
          <w:szCs w:val="21"/>
        </w:rPr>
        <w:t>计算方法如下：</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ascii="宋体" w:hAnsi="宋体" w:hint="eastAsia"/>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ascii="宋体" w:hAnsi="宋体" w:hint="eastAsia"/>
          <w:color w:val="000000"/>
          <w:szCs w:val="21"/>
        </w:rPr>
      </w:pPr>
      <w:r>
        <w:rPr>
          <w:rFonts w:ascii="宋体" w:hAnsi="宋体" w:hint="eastAsia"/>
          <w:color w:val="000000"/>
          <w:szCs w:val="21"/>
        </w:rPr>
        <w:t>E为A份额</w:t>
      </w:r>
      <w:r>
        <w:rPr>
          <w:rFonts w:hint="eastAsia"/>
        </w:rPr>
        <w:t>存续份额</w:t>
      </w:r>
      <w:r>
        <w:rPr>
          <w:rFonts w:ascii="宋体" w:hAnsi="宋体" w:hint="eastAsia"/>
          <w:color w:val="000000"/>
          <w:szCs w:val="21"/>
        </w:rPr>
        <w:t xml:space="preserve">    </w:t>
      </w:r>
    </w:p>
    <w:p>
      <w:pPr>
        <w:widowControl/>
        <w:spacing w:line="300" w:lineRule="auto"/>
        <w:ind w:firstLine="405"/>
        <w:contextualSpacing/>
        <w:outlineLvl w:val="0"/>
        <w:rPr>
          <w:rFonts w:ascii="宋体" w:hAnsi="宋体"/>
          <w:color w:val="000000"/>
          <w:szCs w:val="21"/>
        </w:rPr>
      </w:pPr>
      <w:r>
        <w:rPr>
          <w:rFonts w:ascii="宋体" w:hAnsi="宋体" w:hint="eastAsia"/>
          <w:color w:val="000000"/>
          <w:szCs w:val="21"/>
        </w:rPr>
        <w:t>R为A份额业绩比较基准</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ascii="宋体" w:hAnsi="宋体" w:cs="宋体" w:hint="eastAsia"/>
          <w:color w:val="000000"/>
          <w:kern w:val="0"/>
          <w:szCs w:val="21"/>
        </w:rPr>
        <w:t>示例说明</w:t>
      </w:r>
    </w:p>
    <w:p>
      <w:pPr>
        <w:widowControl/>
        <w:spacing w:line="300" w:lineRule="auto"/>
        <w:contextualSpacing/>
        <w:outlineLvl w:val="0"/>
        <w:rPr>
          <w:rFonts w:ascii="宋体" w:hAnsi="宋体"/>
          <w:b/>
          <w:bCs/>
          <w:color w:val="000000"/>
          <w:szCs w:val="21"/>
        </w:rPr>
      </w:pPr>
      <w:r>
        <w:rPr>
          <w:rFonts w:ascii="宋体" w:hAnsi="宋体" w:hint="eastAsia"/>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ascii="宋体" w:hAnsi="宋体" w:hint="eastAsia"/>
          <w:color w:val="000000"/>
          <w:szCs w:val="21"/>
        </w:rPr>
        <w:t>100,000.00×[1.0615-1.00×(1+4.50%×362/365)]×80%=</w:t>
      </w:r>
      <w:r>
        <w:t xml:space="preserve"> </w:t>
      </w:r>
      <w:r>
        <w:rPr>
          <w:rFonts w:ascii="宋体" w:hAnsi="宋体"/>
          <w:color w:val="000000"/>
          <w:szCs w:val="21"/>
        </w:rPr>
        <w:t>1,349.59</w:t>
      </w:r>
      <w:r>
        <w:rPr>
          <w:rFonts w:ascii="宋体" w:hAnsi="宋体" w:hint="eastAsia"/>
          <w:color w:val="000000"/>
          <w:szCs w:val="21"/>
        </w:rPr>
        <w:t>（元）</w:t>
      </w:r>
    </w:p>
    <w:p>
      <w:pPr>
        <w:widowControl/>
        <w:spacing w:line="300" w:lineRule="auto"/>
        <w:ind w:firstLine="420" w:firstLineChars="200"/>
        <w:contextualSpacing/>
        <w:outlineLvl w:val="0"/>
        <w:rPr>
          <w:rFonts w:ascii="宋体" w:hAnsi="宋体"/>
          <w:color w:val="000000"/>
          <w:szCs w:val="21"/>
        </w:rPr>
      </w:pPr>
      <w:r>
        <w:rPr>
          <w:rFonts w:ascii="宋体" w:hAnsi="宋体" w:hint="eastAsia"/>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ascii="宋体" w:hAnsi="宋体" w:hint="eastAsia"/>
          <w:color w:val="000000"/>
          <w:szCs w:val="21"/>
        </w:rPr>
        <w:t>100,000.00×（1.0615-1.00）-</w:t>
      </w:r>
      <w:r>
        <w:t xml:space="preserve"> </w:t>
      </w:r>
      <w:r>
        <w:rPr>
          <w:rFonts w:ascii="宋体" w:hAnsi="宋体"/>
          <w:color w:val="000000"/>
          <w:szCs w:val="21"/>
        </w:rPr>
        <w:t xml:space="preserve">1,349.59 </w:t>
      </w:r>
      <w:r>
        <w:rPr>
          <w:rFonts w:ascii="宋体" w:hAnsi="宋体" w:hint="eastAsia"/>
          <w:color w:val="000000"/>
          <w:szCs w:val="21"/>
        </w:rPr>
        <w:t>=</w:t>
      </w:r>
      <w:r>
        <w:rPr>
          <w:rFonts w:ascii="宋体" w:hAnsi="宋体"/>
          <w:color w:val="000000"/>
          <w:szCs w:val="21"/>
        </w:rPr>
        <w:t>4,800.41</w:t>
      </w:r>
      <w:r>
        <w:rPr>
          <w:rFonts w:ascii="宋体" w:hAnsi="宋体" w:hint="eastAsia"/>
          <w:color w:val="000000"/>
          <w:szCs w:val="21"/>
        </w:rPr>
        <w:t>（元），产品到期时，投资者获得的实际收益相当于达到年化收益率水平为：</w:t>
      </w:r>
      <w:r>
        <w:rPr>
          <w:rFonts w:ascii="宋体" w:hAnsi="宋体"/>
          <w:color w:val="000000"/>
          <w:szCs w:val="21"/>
        </w:rPr>
        <w:t>4,800.41</w:t>
      </w:r>
      <w:r>
        <w:rPr>
          <w:rFonts w:ascii="宋体" w:hAnsi="宋体" w:hint="eastAsia"/>
          <w:color w:val="000000"/>
          <w:szCs w:val="21"/>
        </w:rPr>
        <w:t>/100,000.00×365/362=</w:t>
      </w:r>
      <w:r>
        <w:rPr>
          <w:rFonts w:ascii="宋体" w:hAnsi="宋体"/>
          <w:color w:val="000000"/>
          <w:szCs w:val="21"/>
        </w:rPr>
        <w:t>4.84%</w:t>
      </w:r>
      <w:r>
        <w:rPr>
          <w:rFonts w:ascii="宋体" w:hAnsi="宋体" w:hint="eastAsia"/>
          <w:color w:val="000000"/>
          <w:szCs w:val="21"/>
        </w:rPr>
        <w:t>。</w:t>
      </w:r>
    </w:p>
    <w:p>
      <w:pPr>
        <w:widowControl/>
        <w:spacing w:line="300" w:lineRule="auto"/>
        <w:contextualSpacing/>
        <w:outlineLvl w:val="0"/>
        <w:rPr>
          <w:rFonts w:ascii="宋体" w:hAnsi="宋体"/>
          <w:b/>
          <w:bCs/>
          <w:color w:val="000000"/>
          <w:szCs w:val="21"/>
        </w:rPr>
      </w:pPr>
      <w:r>
        <w:rPr>
          <w:rFonts w:ascii="宋体" w:hAnsi="宋体" w:hint="eastAsia"/>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ascii="宋体" w:hAnsi="宋体" w:hint="eastAsia"/>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ascii="宋体" w:hAnsi="宋体" w:hint="eastAsia"/>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ascii="宋体" w:hAnsi="宋体" w:hint="eastAsia"/>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ascii="宋体" w:hAnsi="宋体" w:cs="宋体" w:hint="eastAsia"/>
          <w:color w:val="000000"/>
          <w:kern w:val="0"/>
          <w:szCs w:val="21"/>
        </w:rPr>
        <w:t>最不利情况分析</w:t>
      </w:r>
    </w:p>
    <w:p>
      <w:pPr>
        <w:pStyle w:val="msonormalcxspmiddle"/>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Subtitle"/>
        <w:numPr>
          <w:ilvl w:val="0"/>
          <w:numId w:val="2"/>
        </w:numPr>
        <w:spacing w:before="0" w:after="0" w:line="300" w:lineRule="auto"/>
        <w:jc w:val="both"/>
        <w:rPr>
          <w:rFonts w:cs="宋体"/>
          <w:color w:val="000000"/>
          <w:sz w:val="28"/>
          <w:szCs w:val="28"/>
        </w:rPr>
      </w:pPr>
      <w:r>
        <w:rPr>
          <w:rFonts w:cs="宋体" w:hint="eastAsia"/>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ascii="宋体" w:hAnsi="宋体" w:cs="宋体" w:hint="eastAsia"/>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ascii="Calibri" w:hAnsi="Calibri" w:cs="Calibri" w:hint="eastAsia"/>
          <w:szCs w:val="21"/>
        </w:rPr>
        <w:t>50</w:t>
      </w:r>
      <w:r>
        <w:rPr>
          <w:rFonts w:hint="eastAsia"/>
          <w:szCs w:val="21"/>
        </w:rPr>
        <w:t>％，管理人将不再接受超出部分的认购申请。非因投资管理人主观因素导致突破前款规定比例限制的，在单一投资者持有比例降至</w:t>
      </w:r>
      <w:r>
        <w:rPr>
          <w:rFonts w:ascii="Calibri" w:hAnsi="Calibri" w:cs="Calibri" w:hint="eastAsia"/>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ascii="宋体" w:hAnsi="宋体" w:cs="宋体" w:hint="eastAsia"/>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ascii="宋体" w:hAnsi="宋体" w:cs="宋体" w:hint="eastAsia"/>
          <w:color w:val="000000"/>
          <w:kern w:val="0"/>
          <w:szCs w:val="21"/>
        </w:rPr>
        <w:t>到期兑付</w:t>
      </w:r>
      <w:r>
        <w:rPr>
          <w:rFonts w:ascii="宋体" w:hAnsi="宋体" w:cs="宋体" w:hint="eastAsia"/>
          <w:color w:val="000000"/>
          <w:szCs w:val="21"/>
        </w:rPr>
        <w:t>：销售机构将于投资者实际到期日后</w:t>
      </w:r>
      <w:r>
        <w:rPr>
          <w:rFonts w:ascii="宋体" w:hAnsi="宋体" w:cs="宋体" w:hint="eastAsia"/>
          <w:b/>
          <w:bCs/>
          <w:color w:val="000000"/>
          <w:szCs w:val="21"/>
        </w:rPr>
        <w:t>3</w:t>
      </w:r>
      <w:r>
        <w:rPr>
          <w:rFonts w:ascii="宋体" w:hAnsi="宋体" w:cs="宋体" w:hint="eastAsia"/>
          <w:b/>
          <w:color w:val="000000"/>
          <w:szCs w:val="21"/>
        </w:rPr>
        <w:t>个</w:t>
      </w:r>
      <w:r>
        <w:rPr>
          <w:rFonts w:ascii="宋体" w:hAnsi="宋体" w:cs="宋体" w:hint="eastAsia"/>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ascii="宋体" w:hAnsi="宋体" w:cs="宋体" w:hint="eastAsia"/>
          <w:color w:val="000000"/>
          <w:kern w:val="0"/>
          <w:szCs w:val="21"/>
        </w:rPr>
        <w:t>提前终止：</w:t>
      </w:r>
      <w:r>
        <w:rPr>
          <w:rFonts w:ascii="宋体" w:hAnsi="宋体" w:cs="宋体" w:hint="eastAsia"/>
          <w:color w:val="000000"/>
          <w:szCs w:val="21"/>
        </w:rPr>
        <w:t>在理财期限内，管理人根据投资情况有提前终止权，于本理财产品提前终止日前</w:t>
      </w:r>
      <w:r>
        <w:rPr>
          <w:rFonts w:ascii="宋体" w:hAnsi="宋体" w:cs="宋体" w:hint="eastAsia"/>
          <w:b/>
          <w:color w:val="000000"/>
          <w:szCs w:val="21"/>
        </w:rPr>
        <w:t>1个</w:t>
      </w:r>
      <w:r>
        <w:rPr>
          <w:rFonts w:ascii="宋体" w:hAnsi="宋体" w:cs="宋体" w:hint="eastAsia"/>
          <w:color w:val="000000"/>
          <w:szCs w:val="21"/>
        </w:rPr>
        <w:t>工作日在通过管理人或销售机构发布提前终止公告，并于终止日后</w:t>
      </w:r>
      <w:r>
        <w:rPr>
          <w:rFonts w:ascii="宋体" w:hAnsi="宋体" w:cs="宋体" w:hint="eastAsia"/>
          <w:b/>
          <w:color w:val="000000"/>
          <w:szCs w:val="21"/>
        </w:rPr>
        <w:t>3个</w:t>
      </w:r>
      <w:r>
        <w:rPr>
          <w:rFonts w:ascii="宋体" w:hAnsi="宋体" w:cs="宋体" w:hint="eastAsia"/>
          <w:color w:val="000000"/>
          <w:szCs w:val="21"/>
        </w:rPr>
        <w:t>工作日内将可兑付款项按规定的要求划入投资者授权指定的理财账户。终止日至资金实际到账日之间，投资者资金不计息。</w:t>
      </w:r>
    </w:p>
    <w:p>
      <w:pPr>
        <w:widowControl/>
        <w:spacing w:line="300" w:lineRule="auto"/>
        <w:ind w:firstLine="412" w:firstLineChars="196"/>
        <w:jc w:val="left"/>
        <w:outlineLvl w:val="0"/>
        <w:rPr>
          <w:rFonts w:ascii="宋体" w:hAnsi="宋体" w:cs="宋体"/>
          <w:b/>
          <w:color w:val="000000"/>
          <w:szCs w:val="21"/>
        </w:rPr>
      </w:pPr>
      <w:r>
        <w:rPr>
          <w:rFonts w:ascii="宋体" w:hAnsi="宋体" w:cs="宋体" w:hint="eastAsia"/>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ascii="宋体" w:hAnsi="宋体" w:cs="宋体" w:hint="eastAsia"/>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ascii="宋体" w:hAnsi="宋体" w:cs="宋体" w:hint="eastAsia"/>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ascii="宋体" w:hAnsi="宋体" w:cs="宋体" w:hint="eastAsia"/>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ascii="宋体" w:hAnsi="宋体" w:cs="宋体" w:hint="eastAsia"/>
          <w:b/>
          <w:color w:val="000000"/>
          <w:szCs w:val="21"/>
        </w:rPr>
        <w:t>管理人认为应该提前终止本理财产品的其他情况。</w:t>
      </w:r>
      <w:r>
        <w:rPr>
          <w:rFonts w:ascii="宋体" w:hAnsi="宋体" w:cs="宋体" w:hint="eastAsia"/>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ascii="宋体" w:hAnsi="宋体" w:cs="宋体" w:hint="eastAsia"/>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ascii="宋体" w:hAnsi="宋体" w:cs="宋体" w:hint="eastAsia"/>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ascii="宋体" w:hAnsi="宋体" w:cs="宋体" w:hint="eastAsia"/>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Subtitle"/>
        <w:numPr>
          <w:ilvl w:val="0"/>
          <w:numId w:val="2"/>
        </w:numPr>
        <w:spacing w:before="0" w:after="0" w:line="300" w:lineRule="auto"/>
        <w:jc w:val="both"/>
        <w:rPr>
          <w:rFonts w:cs="宋体"/>
          <w:color w:val="000000"/>
          <w:sz w:val="28"/>
          <w:szCs w:val="28"/>
        </w:rPr>
      </w:pPr>
      <w:r>
        <w:rPr>
          <w:rFonts w:cs="宋体" w:hint="eastAsia"/>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ascii="宋体" w:hAnsi="宋体" w:cs="宋体" w:hint="eastAsia"/>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ascii="宋体" w:hAnsi="宋体" w:cs="宋体" w:hint="eastAsia"/>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ascii="宋体" w:hAnsi="宋体" w:cs="宋体" w:hint="eastAsia"/>
          <w:color w:val="000000"/>
          <w:kern w:val="0"/>
          <w:szCs w:val="21"/>
        </w:rPr>
        <w:t>产品成立/不成立报告：管理人应在产品成立日后5个工作日内在产品管理人或销售机构网站上公告，或</w:t>
      </w:r>
      <w:r>
        <w:rPr>
          <w:rFonts w:ascii="宋体" w:hAnsi="宋体" w:cs="宋体" w:hint="eastAsia"/>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ascii="宋体" w:hAnsi="宋体" w:cs="宋体" w:hint="eastAsia"/>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ascii="宋体" w:hAnsi="宋体" w:cs="宋体" w:hint="eastAsia"/>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ascii="宋体" w:hAnsi="宋体" w:cs="宋体" w:hint="eastAsia"/>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ascii="宋体" w:hAnsi="宋体" w:cs="宋体" w:hint="eastAsia"/>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ascii="宋体" w:hAnsi="宋体" w:cs="宋体" w:hint="eastAsia"/>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ascii="宋体" w:hAnsi="宋体" w:cs="宋体" w:hint="eastAsia"/>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ascii="宋体" w:hAnsi="宋体" w:cs="宋体" w:hint="eastAsia"/>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ascii="宋体" w:hAnsi="宋体" w:cs="宋体" w:hint="eastAsia"/>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ascii="宋体" w:hAnsi="宋体" w:cs="宋体" w:hint="eastAsia"/>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ascii="宋体" w:hAnsi="宋体" w:cs="宋体" w:hint="eastAsia"/>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ascii="宋体" w:hAnsi="宋体" w:cs="宋体" w:hint="eastAsia"/>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ascii="宋体" w:hAnsi="宋体" w:cs="宋体" w:hint="eastAsia"/>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ascii="宋体" w:hAnsi="宋体" w:cs="宋体" w:hint="eastAsia"/>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ascii="宋体" w:hAnsi="宋体" w:cs="宋体" w:hint="eastAsia"/>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Subtitle"/>
        <w:numPr>
          <w:ilvl w:val="0"/>
          <w:numId w:val="2"/>
        </w:numPr>
        <w:spacing w:before="0" w:after="0" w:line="300" w:lineRule="auto"/>
        <w:ind w:left="424" w:hanging="317" w:hangingChars="151"/>
        <w:jc w:val="both"/>
        <w:rPr>
          <w:color w:val="000000"/>
          <w:sz w:val="28"/>
          <w:szCs w:val="28"/>
        </w:rPr>
      </w:pPr>
      <w:r>
        <w:rPr>
          <w:rFonts w:cs="宋体" w:hint="eastAsia"/>
          <w:color w:val="000000"/>
          <w:sz w:val="28"/>
          <w:szCs w:val="28"/>
        </w:rPr>
        <w:t>重要提示</w:t>
      </w:r>
    </w:p>
    <w:p>
      <w:pPr>
        <w:spacing w:line="300" w:lineRule="auto"/>
        <w:ind w:firstLine="424" w:firstLineChars="202"/>
        <w:rPr>
          <w:rFonts w:ascii="宋体" w:hAnsi="Wingdings" w:cs="宋体" w:hint="eastAsia"/>
          <w:color w:val="000000"/>
          <w:kern w:val="0"/>
        </w:rPr>
      </w:pPr>
      <w:r>
        <w:rPr>
          <w:rFonts w:ascii="宋体" w:hAnsi="Wingdings" w:cs="宋体" w:hint="eastAsia"/>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ascii="宋体" w:hAnsi="宋体" w:cs="宋体" w:hint="eastAsia"/>
          <w:szCs w:val="21"/>
        </w:rPr>
        <w:t>〖固定收益类〗</w:t>
      </w:r>
      <w:r>
        <w:rPr>
          <w:rFonts w:ascii="宋体" w:hAnsi="Wingdings" w:cs="宋体" w:hint="eastAsia"/>
          <w:color w:val="000000"/>
          <w:kern w:val="0"/>
        </w:rPr>
        <w:t>理财产品。</w:t>
      </w:r>
    </w:p>
    <w:p>
      <w:pPr>
        <w:spacing w:line="300" w:lineRule="auto"/>
        <w:ind w:firstLine="424" w:firstLineChars="202"/>
        <w:rPr>
          <w:rFonts w:ascii="宋体" w:hAnsi="Wingdings" w:cs="宋体" w:hint="eastAsia"/>
          <w:color w:val="000000"/>
          <w:kern w:val="0"/>
        </w:rPr>
      </w:pPr>
      <w:r>
        <w:rPr>
          <w:rFonts w:ascii="宋体" w:hAnsi="Wingdings" w:cs="宋体" w:hint="eastAsia"/>
          <w:b/>
          <w:color w:val="000000"/>
          <w:kern w:val="0"/>
        </w:rPr>
        <w:t>本产品为</w:t>
      </w:r>
      <w:r>
        <w:rPr>
          <w:rFonts w:ascii="宋体" w:hAnsi="宋体" w:cs="宋体" w:hint="eastAsia"/>
          <w:b/>
          <w:bCs/>
          <w:szCs w:val="21"/>
        </w:rPr>
        <w:t>〖公募〗</w:t>
      </w:r>
      <w:r>
        <w:rPr>
          <w:rFonts w:ascii="宋体" w:hAnsi="Wingdings" w:cs="宋体" w:hint="eastAsia"/>
          <w:b/>
          <w:bCs/>
          <w:color w:val="000000"/>
          <w:kern w:val="0"/>
        </w:rPr>
        <w:t>、</w:t>
      </w:r>
      <w:r>
        <w:rPr>
          <w:rFonts w:ascii="宋体" w:hAnsi="宋体" w:cs="宋体" w:hint="eastAsia"/>
          <w:b/>
          <w:bCs/>
          <w:szCs w:val="21"/>
        </w:rPr>
        <w:t>〖</w:t>
      </w:r>
      <w:r>
        <w:rPr>
          <w:rFonts w:ascii="宋体" w:hAnsi="Wingdings" w:cs="宋体" w:hint="eastAsia"/>
          <w:b/>
          <w:bCs/>
          <w:color w:val="000000"/>
          <w:kern w:val="0"/>
        </w:rPr>
        <w:t>封闭式</w:t>
      </w:r>
      <w:r>
        <w:rPr>
          <w:rFonts w:ascii="宋体" w:hAnsi="宋体" w:cs="宋体" w:hint="eastAsia"/>
          <w:b/>
          <w:bCs/>
          <w:szCs w:val="21"/>
        </w:rPr>
        <w:t>〗</w:t>
      </w:r>
      <w:r>
        <w:rPr>
          <w:rFonts w:ascii="宋体" w:hAnsi="Wingdings" w:cs="宋体" w:hint="eastAsia"/>
          <w:b/>
          <w:bCs/>
          <w:color w:val="000000"/>
          <w:kern w:val="0"/>
        </w:rPr>
        <w:t>、</w:t>
      </w:r>
      <w:r>
        <w:rPr>
          <w:rFonts w:ascii="宋体" w:hAnsi="宋体" w:cs="宋体" w:hint="eastAsia"/>
          <w:b/>
          <w:bCs/>
          <w:szCs w:val="21"/>
        </w:rPr>
        <w:t>〖固定收益〗</w:t>
      </w:r>
      <w:r>
        <w:rPr>
          <w:rFonts w:ascii="宋体" w:hAnsi="Wingdings" w:cs="宋体" w:hint="eastAsia"/>
          <w:b/>
          <w:bCs/>
          <w:color w:val="000000"/>
          <w:kern w:val="0"/>
        </w:rPr>
        <w:t>类</w:t>
      </w:r>
      <w:r>
        <w:rPr>
          <w:rFonts w:ascii="宋体" w:hAnsi="Wingdings" w:cs="宋体" w:hint="eastAsia"/>
          <w:b/>
          <w:color w:val="000000"/>
          <w:kern w:val="0"/>
        </w:rPr>
        <w:t>净值型理财产品，其业绩表现将随市场波动具有不确定性。本公司提醒投资者关注，业绩比较基准并不代表实际收益率。管理人不对本产品承诺保本或保证收益。</w:t>
      </w:r>
      <w:r>
        <w:rPr>
          <w:rFonts w:ascii="宋体" w:hAnsi="Wingdings" w:cs="宋体" w:hint="eastAsia"/>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Subtitle"/>
        <w:numPr>
          <w:ilvl w:val="0"/>
          <w:numId w:val="2"/>
        </w:numPr>
        <w:spacing w:before="0" w:after="0" w:line="300" w:lineRule="auto"/>
        <w:ind w:left="424" w:hanging="317" w:hangingChars="151"/>
        <w:jc w:val="both"/>
        <w:rPr>
          <w:rFonts w:cs="宋体"/>
          <w:color w:val="000000"/>
          <w:sz w:val="28"/>
          <w:szCs w:val="28"/>
        </w:rPr>
      </w:pPr>
      <w:r>
        <w:rPr>
          <w:rFonts w:cs="宋体" w:hint="eastAsia"/>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ascii="宋体" w:hAnsi="Wingdings" w:cs="宋体" w:hint="eastAsia"/>
          <w:color w:val="000000"/>
          <w:kern w:val="0"/>
        </w:rPr>
        <w:t>法</w:t>
      </w:r>
      <w:r>
        <w:rPr>
          <w:rFonts w:ascii="宋体" w:hAnsi="宋体" w:cs="宋体" w:hint="eastAsia"/>
          <w:color w:val="000000"/>
          <w:kern w:val="0"/>
          <w:szCs w:val="21"/>
        </w:rPr>
        <w:t>律适用和争议解决</w:t>
      </w:r>
    </w:p>
    <w:p>
      <w:pPr>
        <w:widowControl/>
        <w:spacing w:line="300" w:lineRule="auto"/>
        <w:ind w:firstLine="420" w:firstLineChars="200"/>
        <w:contextualSpacing/>
        <w:outlineLvl w:val="0"/>
        <w:rPr>
          <w:rFonts w:ascii="宋体" w:hAnsi="宋体" w:cs="宋体" w:hint="eastAsia"/>
          <w:color w:val="000000"/>
          <w:kern w:val="0"/>
          <w:szCs w:val="21"/>
        </w:rPr>
      </w:pPr>
      <w:r>
        <w:rPr>
          <w:rFonts w:ascii="宋体" w:hAnsi="宋体" w:cs="宋体" w:hint="eastAsia"/>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Subtitle"/>
        <w:numPr>
          <w:ilvl w:val="0"/>
          <w:numId w:val="2"/>
        </w:numPr>
        <w:spacing w:before="0" w:after="0" w:line="300" w:lineRule="auto"/>
        <w:ind w:left="424" w:hanging="317"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ascii="宋体" w:hAnsi="宋体" w:cs="宋体" w:hint="eastAsia"/>
          <w:color w:val="000000"/>
          <w:kern w:val="0"/>
          <w:szCs w:val="21"/>
        </w:rPr>
        <w:t>托管人</w:t>
      </w:r>
    </w:p>
    <w:tbl>
      <w:tblPr>
        <w:tblStyle w:val="TableNormal"/>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276"/>
        <w:gridCol w:w="7578"/>
      </w:tblGrid>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338"/>
          <w:jc w:val="center"/>
        </w:trPr>
        <w:tc>
          <w:tcPr>
            <w:tcW w:w="2276" w:type="dxa"/>
            <w:vAlign w:val="center"/>
          </w:tcPr>
          <w:p>
            <w:pPr>
              <w:spacing w:line="360" w:lineRule="auto"/>
              <w:jc w:val="center"/>
              <w:rPr>
                <w:rFonts w:ascii="宋体" w:hAnsi="宋体" w:cs="宋体"/>
                <w:bCs/>
                <w:szCs w:val="21"/>
              </w:rPr>
            </w:pPr>
            <w:r>
              <w:rPr>
                <w:rFonts w:ascii="宋体" w:hAnsi="宋体" w:cs="宋体" w:hint="eastAsia"/>
                <w:bCs/>
                <w:szCs w:val="21"/>
              </w:rPr>
              <w:t>托管人名称</w:t>
            </w:r>
          </w:p>
        </w:tc>
        <w:tc>
          <w:tcPr>
            <w:tcW w:w="7578" w:type="dxa"/>
          </w:tcPr>
          <w:p>
            <w:pPr>
              <w:spacing w:line="360" w:lineRule="auto"/>
              <w:jc w:val="left"/>
              <w:rPr>
                <w:rFonts w:ascii="宋体" w:hAnsi="宋体" w:cs="宋体"/>
                <w:bCs/>
                <w:szCs w:val="21"/>
              </w:rPr>
            </w:pPr>
            <w:r>
              <w:rPr>
                <w:rFonts w:ascii="宋体" w:hAnsi="宋体" w:cs="宋体" w:hint="eastAsia"/>
                <w:bCs/>
                <w:szCs w:val="21"/>
              </w:rPr>
              <w:t>杭州银行股份有限公司</w:t>
            </w:r>
          </w:p>
        </w:tc>
      </w:tr>
      <w:tr>
        <w:tblPrEx>
          <w:jc w:val="center"/>
          <w:tblLayout w:type="fixed"/>
          <w:tblCellMar>
            <w:top w:w="0" w:type="dxa"/>
            <w:left w:w="108" w:type="dxa"/>
            <w:bottom w:w="0" w:type="dxa"/>
            <w:right w:w="108" w:type="dxa"/>
          </w:tblCellMar>
          <w:tblLook w:val="0000"/>
        </w:tblPrEx>
        <w:trPr>
          <w:trHeight w:val="308"/>
          <w:jc w:val="center"/>
        </w:trPr>
        <w:tc>
          <w:tcPr>
            <w:tcW w:w="2276" w:type="dxa"/>
            <w:vAlign w:val="center"/>
          </w:tcPr>
          <w:p>
            <w:pPr>
              <w:spacing w:line="360" w:lineRule="auto"/>
              <w:jc w:val="center"/>
              <w:rPr>
                <w:rFonts w:ascii="宋体" w:hAnsi="宋体" w:cs="宋体"/>
                <w:bCs/>
                <w:szCs w:val="21"/>
              </w:rPr>
            </w:pPr>
            <w:r>
              <w:rPr>
                <w:rFonts w:ascii="宋体" w:hAnsi="宋体" w:cs="宋体" w:hint="eastAsia"/>
                <w:bCs/>
                <w:szCs w:val="21"/>
              </w:rPr>
              <w:t>托管人住所</w:t>
            </w:r>
          </w:p>
        </w:tc>
        <w:tc>
          <w:tcPr>
            <w:tcW w:w="7578" w:type="dxa"/>
          </w:tcPr>
          <w:p>
            <w:pPr>
              <w:spacing w:line="360" w:lineRule="auto"/>
              <w:jc w:val="left"/>
              <w:rPr>
                <w:rFonts w:ascii="宋体" w:hAnsi="宋体" w:cs="宋体"/>
                <w:bCs/>
                <w:szCs w:val="21"/>
              </w:rPr>
            </w:pPr>
            <w:r>
              <w:rPr>
                <w:rFonts w:ascii="宋体" w:hAnsi="宋体" w:cs="宋体" w:hint="eastAsia"/>
                <w:bCs/>
                <w:szCs w:val="21"/>
              </w:rPr>
              <w:t>杭州市庆春路46号杭州银行大厦</w:t>
            </w:r>
          </w:p>
        </w:tc>
      </w:tr>
      <w:tr>
        <w:tblPrEx>
          <w:jc w:val="center"/>
          <w:tblLayout w:type="fixed"/>
          <w:tblCellMar>
            <w:top w:w="0" w:type="dxa"/>
            <w:left w:w="108" w:type="dxa"/>
            <w:bottom w:w="0" w:type="dxa"/>
            <w:right w:w="108" w:type="dxa"/>
          </w:tblCellMar>
          <w:tblLook w:val="0000"/>
        </w:tblPrEx>
        <w:trPr>
          <w:trHeight w:val="771"/>
          <w:jc w:val="center"/>
        </w:trPr>
        <w:tc>
          <w:tcPr>
            <w:tcW w:w="2276" w:type="dxa"/>
            <w:vAlign w:val="center"/>
          </w:tcPr>
          <w:p>
            <w:pPr>
              <w:spacing w:line="360" w:lineRule="auto"/>
              <w:jc w:val="center"/>
              <w:rPr>
                <w:rFonts w:ascii="宋体" w:hAnsi="宋体" w:cs="宋体"/>
                <w:bCs/>
                <w:szCs w:val="21"/>
              </w:rPr>
            </w:pPr>
            <w:r>
              <w:rPr>
                <w:rFonts w:ascii="宋体" w:hAnsi="宋体" w:cs="宋体" w:hint="eastAsia"/>
                <w:bCs/>
                <w:szCs w:val="21"/>
              </w:rPr>
              <w:t>托管人职责</w:t>
            </w:r>
          </w:p>
        </w:tc>
        <w:tc>
          <w:tcPr>
            <w:tcW w:w="7578" w:type="dxa"/>
          </w:tcPr>
          <w:p>
            <w:pPr>
              <w:spacing w:line="360" w:lineRule="auto"/>
              <w:jc w:val="left"/>
              <w:rPr>
                <w:rFonts w:ascii="宋体" w:hAnsi="宋体" w:cs="宋体"/>
                <w:bCs/>
                <w:szCs w:val="21"/>
              </w:rPr>
            </w:pPr>
            <w:r>
              <w:rPr>
                <w:rFonts w:ascii="宋体" w:hAnsi="宋体" w:cs="宋体" w:hint="eastAsia"/>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ascii="宋体" w:hAnsi="Wingdings" w:cs="宋体" w:hint="eastAsia"/>
          <w:color w:val="000000"/>
          <w:kern w:val="0"/>
        </w:rPr>
      </w:pPr>
      <w:r>
        <w:rPr>
          <w:rFonts w:ascii="宋体" w:hAnsi="Wingdings" w:cs="宋体" w:hint="eastAsia"/>
          <w:color w:val="000000"/>
          <w:kern w:val="0"/>
        </w:rPr>
        <w:t>（二）销售机构</w:t>
      </w:r>
    </w:p>
    <w:tbl>
      <w:tblPr>
        <w:tblStyle w:val="TableNormal"/>
        <w:tblLayout w:type="fixed"/>
        <w:tblCellMar>
          <w:top w:w="0" w:type="dxa"/>
          <w:left w:w="108" w:type="dxa"/>
          <w:bottom w:w="0" w:type="dxa"/>
          <w:right w:w="108" w:type="dxa"/>
        </w:tblCellMar>
        <w:tblLook w:val="0000"/>
      </w:tblPr>
      <w:tblGrid>
        <w:gridCol w:w="948"/>
        <w:gridCol w:w="2292"/>
        <w:gridCol w:w="1638"/>
        <w:gridCol w:w="4976"/>
      </w:tblGrid>
      <w:tr>
        <w:tblPrEx>
          <w:tblLayout w:type="fixed"/>
          <w:tblCellMar>
            <w:top w:w="0" w:type="dxa"/>
            <w:left w:w="108" w:type="dxa"/>
            <w:bottom w:w="0" w:type="dxa"/>
            <w:right w:w="108" w:type="dxa"/>
          </w:tblCellMar>
          <w:tblLook w:val="0000"/>
        </w:tblPrEx>
        <w:trPr>
          <w:trHeight w:val="285"/>
        </w:trPr>
        <w:tc>
          <w:tcPr>
            <w:tcW w:w="948" w:type="dxa"/>
            <w:vMerge w:val="restart"/>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销售机构信息</w:t>
            </w:r>
          </w:p>
        </w:tc>
        <w:tc>
          <w:tcPr>
            <w:tcW w:w="2292" w:type="dxa"/>
            <w:vMerge w:val="restart"/>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杭州银行股份有限公司</w:t>
            </w:r>
          </w:p>
        </w:tc>
        <w:tc>
          <w:tcPr>
            <w:tcW w:w="1638" w:type="dxa"/>
            <w:tcBorders>
              <w:top w:val="single" w:sz="4" w:space="0" w:color="auto"/>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single" w:sz="4" w:space="0" w:color="auto"/>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杭州市庆春路46号杭州银行大厦</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95398</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兴业银行股份有限公司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福建省福州市台江区江滨中大道398号兴业银行大厦</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95561</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江苏银行股份有限公司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江苏省南京市中华路26号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95319</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苏州银行股份有限公司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江苏省苏州工业园区钟园路728号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96067</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厦门银行股份有限公司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厦门市思明区湖滨北路101号商业银行大厦</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noWrap/>
            <w:vAlign w:val="center"/>
          </w:tcPr>
          <w:p>
            <w:pPr>
              <w:widowControl/>
              <w:jc w:val="left"/>
              <w:rPr>
                <w:rFonts w:ascii="宋体" w:hAnsi="宋体" w:cs="宋体"/>
                <w:color w:val="000000"/>
                <w:kern w:val="0"/>
                <w:szCs w:val="21"/>
              </w:rPr>
            </w:pPr>
            <w:r>
              <w:rPr>
                <w:rFonts w:ascii="宋体" w:hAnsi="宋体" w:cs="宋体" w:hint="eastAsia"/>
                <w:color w:val="000000"/>
                <w:kern w:val="0"/>
                <w:szCs w:val="21"/>
              </w:rPr>
              <w:t>400-858-8888</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厦门国际银行股份有限公司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厦门市思明区鹭江道8-10号国际银行大厦1-6层</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400-1623-623</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富邦华一银行有限公司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中国(上海)自由贸易试验区世纪大道1168号A座101室、18楼、19楼及20楼</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8621—962811</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宁波鄞州农村商业银行股份有限公司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浙江省宁波市鄞州区民惠西路88号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956058</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日照银行股份有限公司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日照市烟台路197号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400-68-96588</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济宁银行股份有限公司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济宁市金宇路6号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400-677-0537</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深圳前海微众银行股份有限公司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广东省深圳市南山区沙河西路1819号深圳湾科技生态园7栋A座</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95384</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重庆富民银行股份有限公司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重庆市渝北区财富东路2号涉外商务区一期B1栋</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4008－108－999</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江苏苏宁银行股份有限公司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南京市建邺区庐山路248号4号楼7、8、9、27、28、29层，4号楼裙楼第1、2层</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95177</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石嘴山银行股份有限公司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宁夏回族自治区石嘴山市大武口区朝阳西街39号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0951-96789</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北京农村商业银行股份有限公司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北京市西城区月坛南街1号院2号楼</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96198</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中信银行股份有限公司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北京市朝阳区光华路10号院1号楼6-30层、32-42层</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95558</w:t>
            </w:r>
          </w:p>
        </w:tc>
      </w:tr>
      <w:tr>
        <w:tblPrEx>
          <w:tblLayout w:type="fixed"/>
          <w:tblCellMar>
            <w:top w:w="0" w:type="dxa"/>
            <w:left w:w="108" w:type="dxa"/>
            <w:bottom w:w="0" w:type="dxa"/>
            <w:right w:w="108" w:type="dxa"/>
          </w:tblCellMar>
          <w:tblLook w:val="0000"/>
        </w:tblPrEx>
        <w:trPr>
          <w:trHeight w:val="76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广东南粤银行股份有限公司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湛江经济技术开发区乐山路27号财富汇金融中心1层01、02号商铺、2层01号商铺、3层01号商铺、39-45层办公室</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4000-961818</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齐鲁银行股份有限公司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山东省济南市历下区经十路10817号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400-609-6588</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长沙银行股份有限公司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长沙市岳麓区滨江路53号楷林商务中心B座</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0731-96511</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东莞银行股份有限公司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东莞市莞城区体育路21号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956033</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九江银行股份有限公司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江西省九江市濂溪区长虹大道619号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95316</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40011-96033</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甘肃银行股份有限公司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甘肃省兰州市城关区东岗西路525—1号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4008696666</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东营银行股份有限公司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山东省东营市东营区府前大街87-1号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4006296588</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浙商银行股份有限公司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浙江省杭州市萧山区鸿宁路1788号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95527</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江苏紫金农村商业银行股份有限公司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江苏省南京市建邺区江东中路381号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96008</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烟台银行股份有限公司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烟台市芝罘区海港路25号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4008-311-777</w:t>
            </w:r>
          </w:p>
        </w:tc>
      </w:tr>
      <w:tr>
        <w:tblPrEx>
          <w:tblLayout w:type="fixed"/>
          <w:tblCellMar>
            <w:top w:w="0" w:type="dxa"/>
            <w:left w:w="108" w:type="dxa"/>
            <w:bottom w:w="0" w:type="dxa"/>
            <w:right w:w="108" w:type="dxa"/>
          </w:tblCellMar>
          <w:tblLook w:val="0000"/>
        </w:tblPrEx>
        <w:trPr>
          <w:trHeight w:val="54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2292" w:type="dxa"/>
            <w:vMerge w:val="restart"/>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杭银理财有限责任公司</w:t>
            </w: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住所</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浙江省杭州市下城区庆春路38号金龙财富中心</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p>
        </w:tc>
        <w:tc>
          <w:tcPr>
            <w:tcW w:w="1638"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客服热线</w:t>
            </w:r>
          </w:p>
        </w:tc>
        <w:tc>
          <w:tcPr>
            <w:tcW w:w="4976" w:type="dxa"/>
            <w:tcBorders>
              <w:top w:val="nil"/>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4008950999</w:t>
            </w:r>
          </w:p>
        </w:tc>
      </w:tr>
      <w:tr>
        <w:tblPrEx>
          <w:tblLayout w:type="fixed"/>
          <w:tblCellMar>
            <w:top w:w="0" w:type="dxa"/>
            <w:left w:w="108" w:type="dxa"/>
            <w:bottom w:w="0" w:type="dxa"/>
            <w:right w:w="108" w:type="dxa"/>
          </w:tblCellMar>
          <w:tblLook w:val="0000"/>
        </w:tblPrEx>
        <w:trPr>
          <w:trHeight w:val="510"/>
        </w:trPr>
        <w:tc>
          <w:tcPr>
            <w:tcW w:w="948" w:type="dxa"/>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销售机构职责</w:t>
            </w:r>
          </w:p>
        </w:tc>
        <w:tc>
          <w:tcPr>
            <w:tcW w:w="8906" w:type="dxa"/>
            <w:gridSpan w:val="3"/>
            <w:tcBorders>
              <w:top w:val="single" w:sz="4" w:space="0" w:color="auto"/>
              <w:left w:val="nil"/>
              <w:bottom w:val="single" w:sz="4" w:space="0" w:color="auto"/>
              <w:right w:val="single" w:sz="4" w:space="0" w:color="auto"/>
            </w:tcBorders>
            <w:vAlign w:val="center"/>
          </w:tcPr>
          <w:p>
            <w:pPr>
              <w:widowControl/>
              <w:jc w:val="left"/>
              <w:rPr>
                <w:rFonts w:ascii="宋体" w:hAnsi="宋体" w:cs="宋体"/>
                <w:color w:val="000000"/>
                <w:kern w:val="0"/>
                <w:szCs w:val="21"/>
              </w:rPr>
            </w:pPr>
            <w:r>
              <w:rPr>
                <w:rFonts w:ascii="宋体" w:hAnsi="宋体" w:cs="宋体" w:hint="eastAsia"/>
                <w:color w:val="000000"/>
                <w:kern w:val="0"/>
                <w:szCs w:val="21"/>
              </w:rPr>
              <w:t>主要负责理财计划推广、投资者风险承受能力评估、投资者适当性管理、理财计划份额认购、申购及赎回办理。</w:t>
            </w:r>
            <w:r>
              <w:rPr>
                <w:rFonts w:ascii="宋体" w:hAnsi="宋体" w:cs="宋体" w:hint="eastAsia"/>
                <w:color w:val="000000"/>
                <w:kern w:val="0"/>
                <w:szCs w:val="21"/>
              </w:rPr>
              <w:br/>
            </w:r>
            <w:r>
              <w:rPr>
                <w:rFonts w:ascii="宋体" w:hAnsi="宋体" w:cs="宋体" w:hint="eastAsia"/>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ascii="宋体" w:hAnsi="宋体" w:cs="宋体" w:hint="eastAsia"/>
          <w:color w:val="000000"/>
          <w:kern w:val="0"/>
          <w:szCs w:val="21"/>
        </w:rPr>
      </w:pPr>
    </w:p>
    <w:p>
      <w:pPr>
        <w:rPr>
          <w:rFonts w:hint="eastAsia"/>
        </w:rPr>
      </w:pPr>
    </w:p>
    <w:p>
      <w:pPr>
        <w:spacing w:line="520" w:lineRule="exact"/>
        <w:ind w:firstLine="424" w:firstLineChars="202"/>
        <w:rPr>
          <w:rFonts w:ascii="宋体" w:hAnsi="Wingdings" w:cs="宋体" w:hint="eastAsia"/>
          <w:color w:val="000000"/>
          <w:kern w:val="0"/>
        </w:rPr>
      </w:pPr>
    </w:p>
    <w:p>
      <w:pPr>
        <w:spacing w:line="300" w:lineRule="auto"/>
        <w:rPr>
          <w:rFonts w:ascii="宋体" w:hAnsi="Wingdings" w:cs="宋体" w:hint="eastAsia"/>
          <w:color w:val="000000"/>
          <w:kern w:val="0"/>
        </w:rPr>
      </w:pPr>
    </w:p>
    <w:p/>
    <w:p>
      <w:r>
        <w:br w:type="page"/>
      </w:r>
    </w:p>
    <w:p w:rsidR="00B90D43" w:rsidRDefault="00B90D43" w:rsidP="00B66DA2">
      <w:pPr>
        <w:spacing w:line="360" w:lineRule="auto"/>
        <w:jc w:val="center"/>
        <w:rPr>
          <w:rFonts w:ascii="宋体" w:hAnsi="宋体"/>
          <w:b/>
          <w:bCs/>
          <w:color w:val="000000"/>
          <w:sz w:val="32"/>
          <w:szCs w:val="32"/>
        </w:rPr>
      </w:pPr>
      <w:bookmarkStart w:id="0" w:name="_GoBack"/>
      <w:bookmarkEnd w:id="0"/>
      <w:r>
        <w:rPr>
          <w:rFonts w:ascii="宋体" w:hAnsi="宋体" w:hint="eastAsia"/>
          <w:b/>
          <w:bCs/>
          <w:color w:val="000000"/>
          <w:sz w:val="32"/>
          <w:szCs w:val="32"/>
        </w:rPr>
        <w:t>杭银理财投资者权益须知</w:t>
      </w:r>
    </w:p>
    <w:p w:rsidR="00B90D43" w:rsidRDefault="00B90D43">
      <w:pPr>
        <w:jc w:val="center"/>
        <w:rPr>
          <w:rFonts w:ascii="宋体" w:hAnsi="宋体" w:hint="eastAsia"/>
          <w:b/>
          <w:bCs/>
          <w:color w:val="000000"/>
        </w:rPr>
      </w:pPr>
      <w:r>
        <w:rPr>
          <w:rFonts w:ascii="宋体" w:hAnsi="宋体" w:hint="eastAsia"/>
        </w:rPr>
        <w:t>（202101版）</w:t>
      </w:r>
    </w:p>
    <w:p w:rsidR="00B90D43" w:rsidRDefault="00B90D43">
      <w:pPr>
        <w:spacing w:line="360" w:lineRule="auto"/>
        <w:jc w:val="center"/>
        <w:rPr>
          <w:rFonts w:ascii="宋体" w:hAnsi="宋体" w:hint="eastAsia"/>
          <w:b/>
          <w:bCs/>
          <w:u w:val="single"/>
        </w:rPr>
      </w:pPr>
      <w:r>
        <w:rPr>
          <w:rFonts w:ascii="宋体" w:hAnsi="宋体" w:hint="eastAsia"/>
          <w:b/>
          <w:bCs/>
          <w:u w:val="single"/>
        </w:rPr>
        <w:t>理财非存款、产品有风险、投资须谨慎</w:t>
      </w:r>
    </w:p>
    <w:p w:rsidR="00B90D43" w:rsidRDefault="00B90D43">
      <w:pPr>
        <w:spacing w:line="360" w:lineRule="auto"/>
        <w:rPr>
          <w:rFonts w:ascii="宋体" w:hAnsi="宋体" w:hint="eastAsia"/>
          <w:kern w:val="0"/>
        </w:rPr>
      </w:pPr>
      <w:r>
        <w:rPr>
          <w:rFonts w:ascii="宋体" w:hAnsi="宋体" w:hint="eastAsia"/>
          <w:kern w:val="0"/>
        </w:rPr>
        <w:t>尊敬的投资者：</w:t>
      </w:r>
    </w:p>
    <w:p w:rsidR="00B90D43" w:rsidRDefault="00B90D43">
      <w:pPr>
        <w:spacing w:line="360" w:lineRule="auto"/>
        <w:ind w:firstLineChars="200" w:firstLine="420"/>
        <w:rPr>
          <w:rFonts w:ascii="宋体" w:hAnsi="宋体" w:hint="eastAsia"/>
          <w:kern w:val="0"/>
        </w:rPr>
      </w:pPr>
      <w:r>
        <w:rPr>
          <w:rFonts w:ascii="宋体" w:hAnsi="宋体" w:hint="eastAsia"/>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rsidR="00B90D43" w:rsidRDefault="006846F8" w:rsidP="006846F8">
      <w:pPr>
        <w:spacing w:line="360" w:lineRule="auto"/>
        <w:ind w:left="420"/>
        <w:rPr>
          <w:rFonts w:ascii="宋体" w:hAnsi="宋体" w:hint="eastAsia"/>
          <w:b/>
          <w:bCs/>
          <w:kern w:val="0"/>
        </w:rPr>
      </w:pPr>
      <w:r>
        <w:rPr>
          <w:rFonts w:ascii="宋体" w:hAnsi="宋体" w:hint="eastAsia"/>
          <w:b/>
          <w:bCs/>
          <w:kern w:val="0"/>
        </w:rPr>
        <w:t>一、</w:t>
      </w:r>
      <w:r w:rsidR="00B90D43">
        <w:rPr>
          <w:rFonts w:ascii="宋体" w:hAnsi="宋体" w:hint="eastAsia"/>
          <w:b/>
          <w:bCs/>
          <w:kern w:val="0"/>
        </w:rPr>
        <w:t>理财计划办理流程</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rsidR="00B90D43" w:rsidRDefault="006846F8" w:rsidP="006846F8">
      <w:pPr>
        <w:spacing w:line="360" w:lineRule="auto"/>
        <w:ind w:firstLine="420"/>
        <w:rPr>
          <w:rFonts w:ascii="宋体" w:hAnsi="宋体" w:hint="eastAsia"/>
          <w:kern w:val="0"/>
        </w:rPr>
      </w:pPr>
      <w:r>
        <w:rPr>
          <w:rFonts w:ascii="宋体" w:hAnsi="宋体" w:hint="eastAsia"/>
          <w:kern w:val="0"/>
        </w:rPr>
        <w:t>（二）</w:t>
      </w:r>
      <w:r w:rsidR="00B90D43">
        <w:rPr>
          <w:rFonts w:ascii="宋体" w:hAnsi="宋体" w:hint="eastAsia"/>
          <w:kern w:val="0"/>
        </w:rPr>
        <w:t>首次在销售机构购买杭银</w:t>
      </w:r>
      <w:proofErr w:type="gramStart"/>
      <w:r w:rsidR="00B90D43">
        <w:rPr>
          <w:rFonts w:ascii="宋体" w:hAnsi="宋体" w:hint="eastAsia"/>
          <w:kern w:val="0"/>
        </w:rPr>
        <w:t>理财理财</w:t>
      </w:r>
      <w:proofErr w:type="gramEnd"/>
      <w:r w:rsidR="00B90D43">
        <w:rPr>
          <w:rFonts w:ascii="宋体" w:hAnsi="宋体" w:hint="eastAsia"/>
          <w:kern w:val="0"/>
        </w:rPr>
        <w:t>计划的个人投资者须接受并完成销售机构对您的风险承受能力评估，并确认风险承受能力等级不低于本理财计划风险评级。</w:t>
      </w:r>
    </w:p>
    <w:p w:rsidR="00B90D43" w:rsidRDefault="006846F8" w:rsidP="006846F8">
      <w:pPr>
        <w:spacing w:line="360" w:lineRule="auto"/>
        <w:ind w:firstLine="420"/>
        <w:rPr>
          <w:rFonts w:ascii="宋体" w:hAnsi="宋体" w:hint="eastAsia"/>
          <w:kern w:val="0"/>
        </w:rPr>
      </w:pPr>
      <w:r>
        <w:rPr>
          <w:rFonts w:ascii="宋体" w:hAnsi="宋体" w:hint="eastAsia"/>
          <w:kern w:val="0"/>
        </w:rPr>
        <w:t>（三）</w:t>
      </w:r>
      <w:r w:rsidR="00B90D43">
        <w:rPr>
          <w:rFonts w:ascii="宋体" w:hAnsi="宋体" w:hint="eastAsia"/>
          <w:kern w:val="0"/>
        </w:rPr>
        <w:t>投资者应仔细阅读本理财计划完整合同（包括但不限于风险揭示书、理财计划产品说明书、投资者权益须知</w:t>
      </w:r>
      <w:r w:rsidR="00A37174">
        <w:rPr>
          <w:rFonts w:ascii="宋体" w:hAnsi="宋体" w:hint="eastAsia"/>
          <w:kern w:val="0"/>
        </w:rPr>
        <w:t>、</w:t>
      </w:r>
      <w:r w:rsidR="00B90D43">
        <w:rPr>
          <w:rFonts w:ascii="宋体" w:hAnsi="宋体" w:hint="eastAsia"/>
          <w:kern w:val="0"/>
        </w:rPr>
        <w:t>理财计划投资协议书</w:t>
      </w:r>
      <w:r w:rsidR="00A37174">
        <w:rPr>
          <w:rFonts w:ascii="宋体" w:hAnsi="宋体" w:hint="eastAsia"/>
          <w:kern w:val="0"/>
        </w:rPr>
        <w:t>和理财计划销售协议书</w:t>
      </w:r>
      <w:r w:rsidR="00B90D43">
        <w:rPr>
          <w:rFonts w:ascii="宋体" w:hAnsi="宋体" w:hint="eastAsia"/>
          <w:kern w:val="0"/>
        </w:rPr>
        <w:t>）等相关协议文件，确认对理财计划条款及风险理解并无疑问和异议后，自主</w:t>
      </w:r>
      <w:proofErr w:type="gramStart"/>
      <w:r w:rsidR="00B90D43">
        <w:rPr>
          <w:rFonts w:ascii="宋体" w:hAnsi="宋体" w:hint="eastAsia"/>
          <w:kern w:val="0"/>
        </w:rPr>
        <w:t>作出</w:t>
      </w:r>
      <w:proofErr w:type="gramEnd"/>
      <w:r w:rsidR="00B90D43">
        <w:rPr>
          <w:rFonts w:ascii="宋体" w:hAnsi="宋体" w:hint="eastAsia"/>
          <w:kern w:val="0"/>
        </w:rPr>
        <w:t>认（申）购和赎回决定，独立抄录风险确认语句并签署相关销售文件，办理理财计划交易手续，自主承担投资风险。</w:t>
      </w:r>
    </w:p>
    <w:p w:rsidR="00B90D43" w:rsidRDefault="00581638" w:rsidP="00581638">
      <w:pPr>
        <w:spacing w:line="360" w:lineRule="auto"/>
        <w:ind w:firstLine="420"/>
        <w:rPr>
          <w:rFonts w:ascii="宋体" w:hAnsi="宋体" w:hint="eastAsia"/>
          <w:kern w:val="0"/>
        </w:rPr>
      </w:pPr>
      <w:r>
        <w:rPr>
          <w:rFonts w:ascii="宋体" w:hAnsi="宋体" w:hint="eastAsia"/>
          <w:kern w:val="0"/>
        </w:rPr>
        <w:t>（四）</w:t>
      </w:r>
      <w:r w:rsidR="00B90D43">
        <w:rPr>
          <w:rFonts w:ascii="宋体" w:hAnsi="宋体" w:hint="eastAsia"/>
          <w:kern w:val="0"/>
        </w:rPr>
        <w:t>如在银行营业场所购买杭银</w:t>
      </w:r>
      <w:proofErr w:type="gramStart"/>
      <w:r w:rsidR="00B90D43">
        <w:rPr>
          <w:rFonts w:ascii="宋体" w:hAnsi="宋体" w:hint="eastAsia"/>
          <w:kern w:val="0"/>
        </w:rPr>
        <w:t>理财理财</w:t>
      </w:r>
      <w:proofErr w:type="gramEnd"/>
      <w:r w:rsidR="00B90D43">
        <w:rPr>
          <w:rFonts w:ascii="宋体" w:hAnsi="宋体" w:hint="eastAsia"/>
          <w:kern w:val="0"/>
        </w:rPr>
        <w:t>计划，销售机构需对每笔理财计划销售过程同步录音录像。</w:t>
      </w:r>
    </w:p>
    <w:p w:rsidR="00B90D43" w:rsidRDefault="006846F8" w:rsidP="006846F8">
      <w:pPr>
        <w:spacing w:line="360" w:lineRule="auto"/>
        <w:ind w:left="420"/>
        <w:rPr>
          <w:rFonts w:ascii="宋体" w:hAnsi="宋体" w:hint="eastAsia"/>
          <w:kern w:val="0"/>
        </w:rPr>
      </w:pPr>
      <w:r>
        <w:rPr>
          <w:rFonts w:ascii="宋体" w:hAnsi="宋体" w:hint="eastAsia"/>
          <w:kern w:val="0"/>
        </w:rPr>
        <w:t>（五）</w:t>
      </w:r>
      <w:r w:rsidR="00B90D43">
        <w:rPr>
          <w:rFonts w:ascii="宋体" w:hAnsi="宋体" w:hint="eastAsia"/>
          <w:kern w:val="0"/>
        </w:rPr>
        <w:t>投资者确定交易金额，完成交易申请，并在确认份额后进行查询。</w:t>
      </w:r>
    </w:p>
    <w:p w:rsidR="00B90D43" w:rsidRDefault="006846F8" w:rsidP="006846F8">
      <w:pPr>
        <w:spacing w:line="360" w:lineRule="auto"/>
        <w:ind w:left="420"/>
        <w:rPr>
          <w:rFonts w:ascii="宋体" w:hAnsi="宋体" w:hint="eastAsia"/>
          <w:b/>
          <w:bCs/>
          <w:kern w:val="0"/>
        </w:rPr>
      </w:pPr>
      <w:r>
        <w:rPr>
          <w:rFonts w:ascii="宋体" w:hAnsi="宋体" w:hint="eastAsia"/>
          <w:b/>
          <w:bCs/>
          <w:kern w:val="0"/>
        </w:rPr>
        <w:t>二、</w:t>
      </w:r>
      <w:r w:rsidR="00B90D43">
        <w:rPr>
          <w:rFonts w:ascii="宋体" w:hAnsi="宋体" w:hint="eastAsia"/>
          <w:b/>
          <w:bCs/>
          <w:kern w:val="0"/>
        </w:rPr>
        <w:t>杭银理财产品风险评级</w:t>
      </w:r>
    </w:p>
    <w:p w:rsidR="00B90D43" w:rsidRDefault="00B90D43">
      <w:pPr>
        <w:spacing w:line="360" w:lineRule="auto"/>
        <w:ind w:firstLineChars="200" w:firstLine="420"/>
        <w:rPr>
          <w:rFonts w:ascii="宋体" w:hAnsi="宋体" w:hint="eastAsia"/>
          <w:kern w:val="0"/>
        </w:rPr>
      </w:pPr>
      <w:r>
        <w:rPr>
          <w:rFonts w:ascii="宋体" w:hAnsi="宋体" w:hint="eastAsia"/>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rsidR="00B90D43" w:rsidRDefault="00B90D43">
      <w:pPr>
        <w:spacing w:line="360" w:lineRule="auto"/>
        <w:ind w:firstLineChars="200" w:firstLine="420"/>
        <w:rPr>
          <w:rFonts w:ascii="宋体" w:hAnsi="宋体" w:hint="eastAsia"/>
          <w:kern w:val="0"/>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4287"/>
        <w:gridCol w:w="2490"/>
      </w:tblGrid>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产品风险等级</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风险等级说明</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适合销售的投资者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R1</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产品总体风险程度低，收益波动小，产品本金安全性高，收益不能实现的可能性很小</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机构投资者及保守型、稳健型、平衡型、成长型、</w:t>
            </w:r>
            <w:r>
              <w:rPr>
                <w:rFonts w:ascii="宋体" w:hAnsi="宋体" w:hint="eastAsia"/>
                <w:kern w:val="0"/>
              </w:rPr>
              <w:lastRenderedPageBreak/>
              <w:t>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lastRenderedPageBreak/>
              <w:t>R2</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产品总体风险程度较低，收益波动较小，虽然存在一些可能对产品本金和收益安全产生不利影响的因素，但产品本金出现损失的可能性较小</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机构投资者及稳健型、平衡型、成长型、进取型的个人投资者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R3</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产品总体风险程度适中，收益存在一定的波动，产品本金出现损失的可能性不容忽视</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机构投资者及平衡型、成长型、进取型的个人投资者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R4</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产品总体风险程度较高，收益波动较明显，产品本金出现损失的可能性高</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R5</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产品总体风险程度高，收益波动明显，产品本金出现损失的可能性很高，产品本金出现全部损失的可能性不容忽视</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机构投资者及进取型的个人投资者</w:t>
            </w:r>
          </w:p>
        </w:tc>
      </w:tr>
    </w:tbl>
    <w:p w:rsidR="00B90D43" w:rsidRDefault="006846F8" w:rsidP="006846F8">
      <w:pPr>
        <w:spacing w:line="360" w:lineRule="auto"/>
        <w:ind w:left="420"/>
        <w:rPr>
          <w:rFonts w:ascii="宋体" w:hAnsi="宋体" w:hint="eastAsia"/>
          <w:b/>
          <w:bCs/>
          <w:kern w:val="0"/>
        </w:rPr>
      </w:pPr>
      <w:r>
        <w:rPr>
          <w:rFonts w:ascii="宋体" w:hAnsi="宋体" w:hint="eastAsia"/>
          <w:b/>
          <w:bCs/>
          <w:kern w:val="0"/>
        </w:rPr>
        <w:t>三、</w:t>
      </w:r>
      <w:r w:rsidR="00B90D43">
        <w:rPr>
          <w:rFonts w:ascii="宋体" w:hAnsi="宋体" w:hint="eastAsia"/>
          <w:b/>
          <w:bCs/>
          <w:kern w:val="0"/>
        </w:rPr>
        <w:t>投资者风险承受能力评估</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本理财计划销售工作及投资者适当性评估由销售机构负责。个人投资者首次通过销售机构购买杭银</w:t>
      </w:r>
      <w:proofErr w:type="gramStart"/>
      <w:r w:rsidR="00B90D43">
        <w:rPr>
          <w:rFonts w:ascii="宋体" w:hAnsi="宋体" w:hint="eastAsia"/>
          <w:kern w:val="0"/>
        </w:rPr>
        <w:t>理财理财</w:t>
      </w:r>
      <w:proofErr w:type="gramEnd"/>
      <w:r w:rsidR="00B90D43">
        <w:rPr>
          <w:rFonts w:ascii="宋体" w:hAnsi="宋体" w:hint="eastAsia"/>
          <w:kern w:val="0"/>
        </w:rPr>
        <w:t>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rsidR="00B90D43" w:rsidRDefault="006846F8" w:rsidP="006846F8">
      <w:pPr>
        <w:spacing w:line="360" w:lineRule="auto"/>
        <w:ind w:firstLine="420"/>
        <w:rPr>
          <w:rFonts w:ascii="宋体" w:hAnsi="宋体" w:hint="eastAsia"/>
          <w:kern w:val="0"/>
        </w:rPr>
      </w:pPr>
      <w:r>
        <w:rPr>
          <w:rFonts w:ascii="宋体" w:hAnsi="宋体" w:hint="eastAsia"/>
          <w:kern w:val="0"/>
        </w:rPr>
        <w:t>（二）</w:t>
      </w:r>
      <w:r w:rsidR="00B90D43">
        <w:rPr>
          <w:rFonts w:ascii="宋体" w:hAnsi="宋体" w:hint="eastAsia"/>
          <w:kern w:val="0"/>
        </w:rPr>
        <w:t>个人投资者风险承受能力评估结果有效期为一年，如风险承受能力评估时效已超过一年，或影响风险承受能力的因素发生变化，请及时完成风险承受能力的重新评估。</w:t>
      </w:r>
    </w:p>
    <w:p w:rsidR="00B90D43" w:rsidRDefault="006846F8" w:rsidP="006846F8">
      <w:pPr>
        <w:spacing w:line="360" w:lineRule="auto"/>
        <w:ind w:left="420"/>
        <w:rPr>
          <w:rFonts w:ascii="宋体" w:hAnsi="宋体" w:hint="eastAsia"/>
          <w:kern w:val="0"/>
        </w:rPr>
      </w:pPr>
      <w:r>
        <w:rPr>
          <w:rFonts w:ascii="宋体" w:hAnsi="宋体" w:hint="eastAsia"/>
          <w:kern w:val="0"/>
        </w:rPr>
        <w:t>（三）</w:t>
      </w:r>
      <w:r w:rsidR="00B90D43">
        <w:rPr>
          <w:rFonts w:ascii="宋体" w:hAnsi="宋体" w:hint="eastAsia"/>
          <w:kern w:val="0"/>
        </w:rPr>
        <w:t>个人投资者风险承受能力评估流程（详</w:t>
      </w:r>
      <w:proofErr w:type="gramStart"/>
      <w:r w:rsidR="00B90D43">
        <w:rPr>
          <w:rFonts w:ascii="宋体" w:hAnsi="宋体" w:hint="eastAsia"/>
          <w:kern w:val="0"/>
        </w:rPr>
        <w:t>询</w:t>
      </w:r>
      <w:proofErr w:type="gramEnd"/>
      <w:r w:rsidR="00B90D43">
        <w:rPr>
          <w:rFonts w:ascii="宋体" w:hAnsi="宋体" w:hint="eastAsia"/>
          <w:kern w:val="0"/>
        </w:rPr>
        <w:t>销售机构工作人员）</w:t>
      </w:r>
    </w:p>
    <w:p w:rsidR="00B90D43" w:rsidRDefault="006846F8" w:rsidP="006846F8">
      <w:pPr>
        <w:spacing w:line="360" w:lineRule="auto"/>
        <w:ind w:left="400"/>
        <w:rPr>
          <w:rFonts w:ascii="宋体" w:hAnsi="宋体" w:hint="eastAsia"/>
          <w:kern w:val="0"/>
        </w:rPr>
      </w:pPr>
      <w:r>
        <w:rPr>
          <w:rFonts w:hint="cs"/>
          <w:kern w:val="0"/>
        </w:rPr>
        <w:t>1</w:t>
      </w:r>
      <w:r>
        <w:rPr>
          <w:kern w:val="0"/>
        </w:rPr>
        <w:t xml:space="preserve">. </w:t>
      </w:r>
      <w:r w:rsidR="00B90D43">
        <w:rPr>
          <w:rFonts w:ascii="宋体" w:hAnsi="宋体" w:hint="eastAsia"/>
          <w:kern w:val="0"/>
        </w:rPr>
        <w:t>个人投资者在销售机构进行风险承受能力评估；</w:t>
      </w:r>
    </w:p>
    <w:p w:rsidR="00B90D43" w:rsidRDefault="006846F8" w:rsidP="006846F8">
      <w:pPr>
        <w:spacing w:line="360" w:lineRule="auto"/>
        <w:ind w:left="400"/>
        <w:rPr>
          <w:rFonts w:ascii="宋体" w:hAnsi="宋体" w:hint="eastAsia"/>
          <w:kern w:val="0"/>
        </w:rPr>
      </w:pPr>
      <w:r>
        <w:rPr>
          <w:kern w:val="0"/>
        </w:rPr>
        <w:t xml:space="preserve">2. </w:t>
      </w:r>
      <w:r w:rsidR="00B90D43">
        <w:rPr>
          <w:rFonts w:ascii="宋体" w:hAnsi="宋体" w:hint="eastAsia"/>
          <w:kern w:val="0"/>
        </w:rPr>
        <w:t>填写销售机构个人投资者风险承受能力测试问卷；</w:t>
      </w:r>
    </w:p>
    <w:p w:rsidR="00B90D43" w:rsidRDefault="006846F8" w:rsidP="006846F8">
      <w:pPr>
        <w:spacing w:line="360" w:lineRule="auto"/>
        <w:ind w:left="400"/>
        <w:rPr>
          <w:rFonts w:ascii="宋体" w:hAnsi="宋体" w:hint="eastAsia"/>
          <w:kern w:val="0"/>
        </w:rPr>
      </w:pPr>
      <w:r>
        <w:rPr>
          <w:kern w:val="0"/>
        </w:rPr>
        <w:t xml:space="preserve">3. </w:t>
      </w:r>
      <w:r w:rsidR="00B90D43">
        <w:rPr>
          <w:rFonts w:ascii="宋体" w:hAnsi="宋体" w:hint="eastAsia"/>
          <w:kern w:val="0"/>
        </w:rPr>
        <w:t>生成相应的个人投资者风险承受能力评估结果；</w:t>
      </w:r>
    </w:p>
    <w:p w:rsidR="00B90D43" w:rsidRDefault="006846F8" w:rsidP="006846F8">
      <w:pPr>
        <w:spacing w:line="360" w:lineRule="auto"/>
        <w:ind w:left="400"/>
        <w:rPr>
          <w:rFonts w:ascii="宋体" w:hAnsi="宋体" w:hint="eastAsia"/>
          <w:kern w:val="0"/>
        </w:rPr>
      </w:pPr>
      <w:r>
        <w:rPr>
          <w:kern w:val="0"/>
        </w:rPr>
        <w:t xml:space="preserve">4. </w:t>
      </w:r>
      <w:r w:rsidR="00B90D43">
        <w:rPr>
          <w:rFonts w:ascii="宋体" w:hAnsi="宋体" w:hint="eastAsia"/>
          <w:kern w:val="0"/>
        </w:rPr>
        <w:t>投资者对评估结果进行确认。</w:t>
      </w:r>
    </w:p>
    <w:p w:rsidR="00B90D43" w:rsidRDefault="006846F8" w:rsidP="006846F8">
      <w:pPr>
        <w:spacing w:line="360" w:lineRule="auto"/>
        <w:ind w:firstLine="400"/>
        <w:rPr>
          <w:rFonts w:ascii="宋体" w:hAnsi="宋体" w:hint="eastAsia"/>
          <w:kern w:val="0"/>
        </w:rPr>
      </w:pPr>
      <w:r>
        <w:rPr>
          <w:rFonts w:ascii="宋体" w:hAnsi="宋体" w:hint="eastAsia"/>
          <w:kern w:val="0"/>
        </w:rPr>
        <w:t>（四）</w:t>
      </w:r>
      <w:r w:rsidR="00B90D43">
        <w:rPr>
          <w:rFonts w:ascii="宋体" w:hAnsi="宋体" w:hint="eastAsia"/>
          <w:kern w:val="0"/>
        </w:rPr>
        <w:t>风险承受能力评估结果将作为评价个人投资者是否适合购买理财计划的重要因素，风险承受能力评级越高适合购买的理财计划风险评级越高，适合购买的理财计划类型越丰富。</w:t>
      </w:r>
    </w:p>
    <w:p w:rsidR="00B90D43" w:rsidRDefault="006846F8" w:rsidP="006846F8">
      <w:pPr>
        <w:spacing w:line="360" w:lineRule="auto"/>
        <w:ind w:firstLine="400"/>
        <w:rPr>
          <w:rFonts w:ascii="宋体" w:hAnsi="宋体" w:hint="eastAsia"/>
          <w:kern w:val="0"/>
        </w:rPr>
      </w:pPr>
      <w:r>
        <w:rPr>
          <w:rFonts w:ascii="宋体" w:hAnsi="宋体" w:hint="eastAsia"/>
          <w:kern w:val="0"/>
        </w:rPr>
        <w:t>（五）</w:t>
      </w:r>
      <w:r w:rsidR="00B90D43">
        <w:rPr>
          <w:rFonts w:ascii="宋体" w:hAnsi="宋体" w:hint="eastAsia"/>
          <w:kern w:val="0"/>
        </w:rPr>
        <w:t>代销机构应当根据本机构的方式和方法，独立审慎地对理财计划进行销售评级，如销售评级与本公司产品评级结果不一致的，代理销售机构应当采用对应较高风险等级的评级结果并予以披露。在代销</w:t>
      </w:r>
      <w:r w:rsidR="00B90D43">
        <w:rPr>
          <w:rFonts w:ascii="宋体" w:hAnsi="宋体" w:hint="eastAsia"/>
          <w:kern w:val="0"/>
        </w:rPr>
        <w:lastRenderedPageBreak/>
        <w:t>过程中，应充分揭示风险，确保个人投资者的风险承受能力等级不低于本理财计划最终披露的风险评级。如本理财计划通过代理销售机构渠道销售的，理财产品评级应当以代理销售机构最终披露的评级结果为准。</w:t>
      </w:r>
    </w:p>
    <w:p w:rsidR="00B90D43" w:rsidRDefault="006846F8" w:rsidP="006846F8">
      <w:pPr>
        <w:spacing w:line="360" w:lineRule="auto"/>
        <w:ind w:firstLine="400"/>
        <w:rPr>
          <w:rFonts w:ascii="宋体" w:hAnsi="宋体" w:hint="eastAsia"/>
          <w:kern w:val="0"/>
        </w:rPr>
      </w:pPr>
      <w:r>
        <w:rPr>
          <w:rFonts w:ascii="宋体" w:hAnsi="宋体" w:hint="eastAsia"/>
          <w:kern w:val="0"/>
        </w:rPr>
        <w:t>（六）</w:t>
      </w:r>
      <w:r w:rsidR="00B90D43">
        <w:rPr>
          <w:rFonts w:ascii="宋体" w:hAnsi="宋体" w:hint="eastAsia"/>
          <w:kern w:val="0"/>
        </w:rPr>
        <w:t>机构投资者购买理财计划前无须进行风险评估能力测试。机构投资者不适用个人投资者的风险承受能力评估，</w:t>
      </w:r>
      <w:proofErr w:type="gramStart"/>
      <w:r w:rsidR="00B90D43">
        <w:rPr>
          <w:rFonts w:ascii="宋体" w:hAnsi="宋体" w:hint="eastAsia"/>
          <w:kern w:val="0"/>
        </w:rPr>
        <w:t>请机构</w:t>
      </w:r>
      <w:proofErr w:type="gramEnd"/>
      <w:r w:rsidR="00B90D43">
        <w:rPr>
          <w:rFonts w:ascii="宋体" w:hAnsi="宋体" w:hint="eastAsia"/>
          <w:kern w:val="0"/>
        </w:rPr>
        <w:t>投资者根据自身财务状况、投资风格、资金需求等要素，并在阅读本权益须知、产品说明书和风险揭示书的基础上，充分认识投资本理财计划需要承担的风险。</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四、理财计划信息披露</w:t>
      </w:r>
    </w:p>
    <w:p w:rsidR="00B90D43" w:rsidRDefault="00B90D43">
      <w:pPr>
        <w:spacing w:line="360" w:lineRule="auto"/>
        <w:ind w:firstLineChars="200" w:firstLine="420"/>
        <w:rPr>
          <w:rFonts w:ascii="宋体" w:hAnsi="宋体" w:hint="eastAsia"/>
          <w:kern w:val="0"/>
        </w:rPr>
      </w:pPr>
      <w:r>
        <w:rPr>
          <w:rFonts w:ascii="宋体" w:hAnsi="宋体" w:hint="eastAsia"/>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五、投资者信息管理</w:t>
      </w:r>
    </w:p>
    <w:p w:rsidR="00B90D43" w:rsidRDefault="00B90D43">
      <w:pPr>
        <w:spacing w:line="360" w:lineRule="auto"/>
        <w:ind w:firstLineChars="200" w:firstLine="420"/>
        <w:rPr>
          <w:rFonts w:ascii="宋体" w:hAnsi="宋体" w:hint="eastAsia"/>
          <w:kern w:val="0"/>
        </w:rPr>
      </w:pPr>
      <w:r>
        <w:rPr>
          <w:rFonts w:ascii="宋体" w:hAnsi="宋体" w:hint="eastAsia"/>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rsidR="00B90D43" w:rsidRDefault="00B90D43">
      <w:pPr>
        <w:spacing w:line="360" w:lineRule="auto"/>
        <w:ind w:firstLineChars="200" w:firstLine="420"/>
        <w:rPr>
          <w:rFonts w:ascii="宋体" w:hAnsi="宋体" w:hint="eastAsia"/>
          <w:kern w:val="0"/>
        </w:rPr>
      </w:pPr>
      <w:r>
        <w:rPr>
          <w:rFonts w:ascii="宋体" w:hAnsi="宋体" w:hint="eastAsia"/>
          <w:kern w:val="0"/>
        </w:rPr>
        <w:t>本公司及销售机构收集、使用个人信息，应当按照法律法规规定，遵循正当、必要原则，保证信息采集、处理及使用的安全性和合法性。未经客户专门授权，不得将投资者信息及相关理财计划销售信息提供</w:t>
      </w:r>
      <w:proofErr w:type="gramStart"/>
      <w:r>
        <w:rPr>
          <w:rFonts w:ascii="宋体" w:hAnsi="宋体" w:hint="eastAsia"/>
          <w:kern w:val="0"/>
        </w:rPr>
        <w:t>其他第三</w:t>
      </w:r>
      <w:proofErr w:type="gramEnd"/>
      <w:r>
        <w:rPr>
          <w:rFonts w:ascii="宋体" w:hAnsi="宋体" w:hint="eastAsia"/>
          <w:kern w:val="0"/>
        </w:rPr>
        <w:t>方机构和个人，法律、行政法规和国务院银行业监督管理机构另有规定的除外。</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六、投诉与建议</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投资者如认为销售机构推介、销售理财计划时有不实或未尽风险告知职责或其它疑义事项，或对理财计划、销售机构及理财计划管理人服务有任何意见或建议，可通过拨打销售机构热线或客</w:t>
      </w:r>
      <w:proofErr w:type="gramStart"/>
      <w:r w:rsidR="00B90D43">
        <w:rPr>
          <w:rFonts w:ascii="宋体" w:hAnsi="宋体" w:hint="eastAsia"/>
          <w:kern w:val="0"/>
        </w:rPr>
        <w:t>服电话</w:t>
      </w:r>
      <w:proofErr w:type="gramEnd"/>
      <w:r w:rsidR="00B90D43">
        <w:rPr>
          <w:rFonts w:ascii="宋体" w:hAnsi="宋体" w:hint="eastAsia"/>
          <w:kern w:val="0"/>
        </w:rPr>
        <w:t>进行反馈。销售机构将由专人接听、记录您的意见建议，并由双方协商共同解决。</w:t>
      </w:r>
    </w:p>
    <w:p w:rsidR="00B90D43" w:rsidRDefault="006846F8" w:rsidP="006846F8">
      <w:pPr>
        <w:spacing w:line="360" w:lineRule="auto"/>
        <w:ind w:left="420"/>
        <w:rPr>
          <w:rFonts w:ascii="宋体" w:hAnsi="宋体" w:hint="eastAsia"/>
          <w:kern w:val="0"/>
        </w:rPr>
      </w:pPr>
      <w:r>
        <w:rPr>
          <w:rFonts w:ascii="宋体" w:hAnsi="宋体" w:hint="eastAsia"/>
          <w:kern w:val="0"/>
        </w:rPr>
        <w:t>（二）</w:t>
      </w:r>
      <w:r w:rsidR="00B90D43">
        <w:rPr>
          <w:rFonts w:ascii="宋体" w:hAnsi="宋体" w:hint="eastAsia"/>
          <w:kern w:val="0"/>
        </w:rPr>
        <w:t>联络方式</w:t>
      </w:r>
    </w:p>
    <w:p w:rsidR="00B90D43" w:rsidRDefault="00B90D43">
      <w:pPr>
        <w:spacing w:line="360" w:lineRule="auto"/>
        <w:ind w:firstLineChars="200" w:firstLine="420"/>
        <w:rPr>
          <w:rFonts w:ascii="宋体" w:hAnsi="宋体" w:hint="eastAsia"/>
          <w:kern w:val="0"/>
        </w:rPr>
      </w:pPr>
      <w:r>
        <w:rPr>
          <w:rFonts w:ascii="宋体" w:hAnsi="宋体" w:hint="eastAsia"/>
          <w:kern w:val="0"/>
        </w:rPr>
        <w:t>在杭州银行（作为销售机构）购买本理财计划的请联系杭州银行，杭州银行客户服务热线：95398、4008888508，杭州银行官方网站：www.hzbank.com.cn。</w:t>
      </w:r>
    </w:p>
    <w:p w:rsidR="00B90D43" w:rsidRDefault="00B90D43">
      <w:pPr>
        <w:spacing w:line="360" w:lineRule="auto"/>
        <w:ind w:firstLineChars="200" w:firstLine="420"/>
        <w:rPr>
          <w:rFonts w:ascii="宋体" w:hAnsi="宋体" w:hint="eastAsia"/>
          <w:kern w:val="0"/>
        </w:rPr>
      </w:pPr>
      <w:r>
        <w:rPr>
          <w:rFonts w:ascii="宋体" w:hAnsi="宋体" w:hint="eastAsia"/>
          <w:kern w:val="0"/>
        </w:rPr>
        <w:t>在其他销售机构购买理财计划的，请联系其他销售机构，联系方式以其披露为准。</w:t>
      </w:r>
    </w:p>
    <w:p w:rsidR="00B90D43" w:rsidRDefault="00B90D43">
      <w:pPr>
        <w:spacing w:line="360" w:lineRule="auto"/>
        <w:ind w:firstLineChars="200" w:firstLine="420"/>
        <w:rPr>
          <w:rFonts w:ascii="宋体" w:hAnsi="宋体" w:hint="eastAsia"/>
          <w:kern w:val="0"/>
        </w:rPr>
      </w:pPr>
      <w:r>
        <w:rPr>
          <w:rFonts w:ascii="宋体" w:hAnsi="宋体" w:hint="eastAsia"/>
          <w:kern w:val="0"/>
        </w:rPr>
        <w:t>杭银理财联络方式：</w:t>
      </w:r>
    </w:p>
    <w:p w:rsidR="00B90D43" w:rsidRDefault="006846F8" w:rsidP="006846F8">
      <w:pPr>
        <w:pStyle w:val="ListParagraph2"/>
        <w:spacing w:line="360" w:lineRule="auto"/>
        <w:ind w:left="400" w:firstLineChars="0" w:firstLine="0"/>
        <w:rPr>
          <w:rFonts w:ascii="宋体" w:hAnsi="宋体" w:hint="eastAsia"/>
          <w:kern w:val="0"/>
          <w:szCs w:val="21"/>
        </w:rPr>
      </w:pPr>
      <w:r>
        <w:rPr>
          <w:kern w:val="0"/>
        </w:rPr>
        <w:t xml:space="preserve">1. </w:t>
      </w:r>
      <w:r w:rsidR="00B90D43">
        <w:rPr>
          <w:rFonts w:ascii="宋体" w:hAnsi="宋体" w:hint="eastAsia"/>
          <w:kern w:val="0"/>
          <w:szCs w:val="21"/>
        </w:rPr>
        <w:t>官方网站：暂无</w:t>
      </w:r>
    </w:p>
    <w:p w:rsidR="00B90D43" w:rsidRDefault="006846F8" w:rsidP="006846F8">
      <w:pPr>
        <w:pStyle w:val="ListParagraph2"/>
        <w:spacing w:line="360" w:lineRule="auto"/>
        <w:ind w:left="400" w:firstLineChars="0" w:firstLine="0"/>
        <w:rPr>
          <w:rFonts w:ascii="宋体" w:hAnsi="宋体" w:hint="eastAsia"/>
          <w:kern w:val="0"/>
          <w:szCs w:val="21"/>
        </w:rPr>
      </w:pPr>
      <w:r>
        <w:rPr>
          <w:kern w:val="0"/>
        </w:rPr>
        <w:t xml:space="preserve">2. </w:t>
      </w:r>
      <w:r w:rsidR="00B90D43">
        <w:rPr>
          <w:rFonts w:ascii="宋体" w:hAnsi="宋体" w:hint="eastAsia"/>
          <w:kern w:val="0"/>
          <w:szCs w:val="21"/>
        </w:rPr>
        <w:t>公司地址：杭州市拱</w:t>
      </w:r>
      <w:proofErr w:type="gramStart"/>
      <w:r w:rsidR="00B90D43">
        <w:rPr>
          <w:rFonts w:ascii="宋体" w:hAnsi="宋体" w:hint="eastAsia"/>
          <w:kern w:val="0"/>
          <w:szCs w:val="21"/>
        </w:rPr>
        <w:t>墅</w:t>
      </w:r>
      <w:proofErr w:type="gramEnd"/>
      <w:r w:rsidR="00B90D43">
        <w:rPr>
          <w:rFonts w:ascii="宋体" w:hAnsi="宋体" w:hint="eastAsia"/>
          <w:kern w:val="0"/>
          <w:szCs w:val="21"/>
        </w:rPr>
        <w:t>区庆春路38号金龙财富中心6楼</w:t>
      </w:r>
    </w:p>
    <w:p w:rsidR="00B90D43" w:rsidRDefault="00B90D43">
      <w:r>
        <w:rPr>
          <w:rFonts w:ascii="宋体" w:hAnsi="宋体" w:hint="eastAsia"/>
          <w:kern w:val="0"/>
        </w:rPr>
        <w:t>若</w:t>
      </w:r>
      <w:proofErr w:type="gramStart"/>
      <w:r>
        <w:rPr>
          <w:rFonts w:ascii="宋体" w:hAnsi="宋体" w:hint="eastAsia"/>
          <w:kern w:val="0"/>
        </w:rPr>
        <w:t>上述联系</w:t>
      </w:r>
      <w:proofErr w:type="gramEnd"/>
      <w:r>
        <w:rPr>
          <w:rFonts w:ascii="宋体" w:hAnsi="宋体" w:hint="eastAsia"/>
          <w:kern w:val="0"/>
        </w:rPr>
        <w:t>方式变更，杭银理财将提前通过原官方网站及时告知投资者</w:t>
      </w:r>
    </w:p>
    <w:p>
      <w:r>
        <w:br w:type="page"/>
      </w:r>
    </w:p>
    <w:p w:rsidR="00B90D43" w:rsidRDefault="00B90D43">
      <w:pPr>
        <w:jc w:val="center"/>
        <w:rPr>
          <w:rFonts w:ascii="宋体" w:hAnsi="宋体"/>
          <w:b/>
          <w:bCs/>
          <w:sz w:val="32"/>
          <w:szCs w:val="32"/>
        </w:rPr>
      </w:pPr>
      <w:bookmarkStart w:id="0" w:name="_GoBack"/>
      <w:bookmarkEnd w:id="0"/>
      <w:r>
        <w:rPr>
          <w:rFonts w:ascii="宋体" w:hAnsi="宋体" w:hint="eastAsia"/>
          <w:b/>
          <w:bCs/>
          <w:sz w:val="32"/>
          <w:szCs w:val="32"/>
        </w:rPr>
        <w:t>杭银</w:t>
      </w:r>
      <w:proofErr w:type="gramStart"/>
      <w:r>
        <w:rPr>
          <w:rFonts w:ascii="宋体" w:hAnsi="宋体" w:hint="eastAsia"/>
          <w:b/>
          <w:bCs/>
          <w:sz w:val="32"/>
          <w:szCs w:val="32"/>
        </w:rPr>
        <w:t>理财理财</w:t>
      </w:r>
      <w:proofErr w:type="gramEnd"/>
      <w:r>
        <w:rPr>
          <w:rFonts w:ascii="宋体" w:hAnsi="宋体" w:hint="eastAsia"/>
          <w:b/>
          <w:bCs/>
          <w:sz w:val="32"/>
          <w:szCs w:val="32"/>
        </w:rPr>
        <w:t>计划投资协议书</w:t>
      </w:r>
    </w:p>
    <w:p w:rsidR="00B90D43" w:rsidRDefault="00B90D43">
      <w:pPr>
        <w:jc w:val="center"/>
        <w:rPr>
          <w:rFonts w:ascii="宋体" w:hAnsi="宋体" w:hint="eastAsia"/>
          <w:b/>
          <w:bCs/>
        </w:rPr>
      </w:pPr>
      <w:r>
        <w:rPr>
          <w:rFonts w:ascii="宋体" w:hAnsi="宋体" w:hint="eastAsia"/>
        </w:rPr>
        <w:t>（202101版）</w:t>
      </w:r>
    </w:p>
    <w:p w:rsidR="00B90D43" w:rsidRDefault="00B90D43">
      <w:pPr>
        <w:jc w:val="center"/>
        <w:rPr>
          <w:rFonts w:ascii="宋体" w:hAnsi="宋体" w:hint="eastAsia"/>
          <w:b/>
          <w:bCs/>
        </w:rPr>
      </w:pPr>
      <w:r>
        <w:rPr>
          <w:rFonts w:ascii="宋体" w:hAnsi="宋体" w:hint="eastAsia"/>
          <w:b/>
          <w:bCs/>
        </w:rPr>
        <w:t xml:space="preserve"> </w:t>
      </w:r>
    </w:p>
    <w:p w:rsidR="00B90D43" w:rsidRDefault="00B90D43">
      <w:pPr>
        <w:spacing w:line="360" w:lineRule="auto"/>
        <w:ind w:firstLineChars="200" w:firstLine="422"/>
        <w:rPr>
          <w:rFonts w:ascii="宋体" w:hAnsi="宋体" w:hint="eastAsia"/>
          <w:b/>
          <w:bCs/>
        </w:rPr>
      </w:pPr>
      <w:r>
        <w:rPr>
          <w:rFonts w:ascii="宋体" w:hAnsi="宋体" w:hint="eastAsia"/>
          <w:b/>
          <w:bCs/>
        </w:rPr>
        <w:t>特别提示：杭银</w:t>
      </w:r>
      <w:proofErr w:type="gramStart"/>
      <w:r>
        <w:rPr>
          <w:rFonts w:ascii="宋体" w:hAnsi="宋体" w:hint="eastAsia"/>
          <w:b/>
          <w:bCs/>
        </w:rPr>
        <w:t>理财理财</w:t>
      </w:r>
      <w:proofErr w:type="gramEnd"/>
      <w:r>
        <w:rPr>
          <w:rFonts w:ascii="宋体" w:hAnsi="宋体" w:hint="eastAsia"/>
          <w:b/>
          <w:bCs/>
        </w:rPr>
        <w:t>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rsidR="00B90D43" w:rsidRDefault="00B90D43">
      <w:pPr>
        <w:spacing w:line="360" w:lineRule="auto"/>
        <w:ind w:firstLineChars="200" w:firstLine="420"/>
        <w:rPr>
          <w:rFonts w:ascii="宋体" w:hAnsi="宋体" w:hint="eastAsia"/>
        </w:rPr>
      </w:pPr>
      <w:r>
        <w:rPr>
          <w:rFonts w:ascii="宋体" w:hAnsi="宋体" w:hint="eastAsia"/>
        </w:rPr>
        <w:t>投资者与管理人（即杭银理财有限责任公司）经平等友好协商，本着自愿、诚实信用原则，就投资者购买管理人发行的理财计划有关事宜达成如下协议（以下简称“本协议”）：</w:t>
      </w:r>
    </w:p>
    <w:p w:rsidR="00B90D43" w:rsidRDefault="006E25DD" w:rsidP="006E25DD">
      <w:pPr>
        <w:spacing w:line="360" w:lineRule="auto"/>
        <w:ind w:firstLine="420"/>
        <w:rPr>
          <w:rFonts w:ascii="宋体" w:hAnsi="宋体" w:hint="eastAsia"/>
          <w:b/>
          <w:bCs/>
        </w:rPr>
      </w:pPr>
      <w:r>
        <w:rPr>
          <w:rFonts w:ascii="宋体" w:hAnsi="宋体" w:hint="eastAsia"/>
          <w:b/>
          <w:bCs/>
        </w:rPr>
        <w:t xml:space="preserve">第一条 </w:t>
      </w:r>
      <w:r w:rsidR="00B90D43">
        <w:rPr>
          <w:rFonts w:ascii="宋体" w:hAnsi="宋体" w:hint="eastAsia"/>
          <w:b/>
          <w:bCs/>
        </w:rPr>
        <w:t>名词释义</w:t>
      </w:r>
    </w:p>
    <w:p w:rsidR="00B90D43" w:rsidRDefault="00B90D43">
      <w:pPr>
        <w:spacing w:line="360" w:lineRule="auto"/>
        <w:ind w:firstLineChars="200" w:firstLine="420"/>
        <w:rPr>
          <w:rFonts w:ascii="宋体" w:hAnsi="宋体" w:hint="eastAsia"/>
        </w:rPr>
      </w:pPr>
      <w:r>
        <w:rPr>
          <w:rFonts w:ascii="宋体" w:hAnsi="宋体" w:hint="eastAsia"/>
        </w:rPr>
        <w:t>详见理财计划说明书“释义”部分。</w:t>
      </w:r>
    </w:p>
    <w:p w:rsidR="00B90D43" w:rsidRDefault="006E25DD" w:rsidP="006E25DD">
      <w:pPr>
        <w:spacing w:line="360" w:lineRule="auto"/>
        <w:ind w:left="422"/>
        <w:rPr>
          <w:rFonts w:ascii="宋体" w:hAnsi="宋体" w:hint="eastAsia"/>
          <w:b/>
          <w:bCs/>
        </w:rPr>
      </w:pPr>
      <w:r>
        <w:rPr>
          <w:rFonts w:ascii="宋体" w:hAnsi="宋体" w:hint="eastAsia"/>
          <w:b/>
          <w:bCs/>
        </w:rPr>
        <w:t xml:space="preserve">第二条 </w:t>
      </w:r>
      <w:r w:rsidR="00B90D43">
        <w:rPr>
          <w:rFonts w:ascii="宋体" w:hAnsi="宋体" w:hint="eastAsia"/>
          <w:b/>
          <w:bCs/>
        </w:rPr>
        <w:t>投资者权利与义务</w:t>
      </w:r>
    </w:p>
    <w:p w:rsidR="00B90D43" w:rsidRDefault="006E25DD" w:rsidP="006E25DD">
      <w:pPr>
        <w:widowControl/>
        <w:spacing w:line="360" w:lineRule="auto"/>
        <w:ind w:firstLine="420"/>
        <w:contextualSpacing/>
        <w:rPr>
          <w:rFonts w:ascii="宋体" w:hAnsi="宋体" w:hint="eastAsia"/>
        </w:rPr>
      </w:pPr>
      <w:r>
        <w:rPr>
          <w:rFonts w:ascii="宋体" w:hAnsi="宋体" w:hint="eastAsia"/>
        </w:rPr>
        <w:t>（一）</w:t>
      </w:r>
      <w:r w:rsidR="00B90D43">
        <w:rPr>
          <w:rFonts w:ascii="宋体" w:hAnsi="宋体" w:hint="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sidR="00B90D43">
        <w:rPr>
          <w:rFonts w:ascii="宋体" w:hAnsi="宋体" w:hint="eastAsia"/>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rsidR="00B90D43" w:rsidRDefault="005A460C" w:rsidP="005A460C">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投资者保证自身完全了解理财投资的性质，投资所涉及的风险以及自身风险承受能力，在慎重考虑后独立</w:t>
      </w:r>
      <w:proofErr w:type="gramStart"/>
      <w:r w:rsidR="00B90D43">
        <w:rPr>
          <w:rFonts w:ascii="宋体" w:hAnsi="宋体" w:hint="eastAsia"/>
        </w:rPr>
        <w:t>作出</w:t>
      </w:r>
      <w:proofErr w:type="gramEnd"/>
      <w:r w:rsidR="00B90D43">
        <w:rPr>
          <w:rFonts w:ascii="宋体" w:hAnsi="宋体" w:hint="eastAsia"/>
        </w:rPr>
        <w:t>交易决定。</w:t>
      </w:r>
    </w:p>
    <w:p w:rsidR="00B90D43" w:rsidRDefault="005A460C" w:rsidP="005A460C">
      <w:pPr>
        <w:widowControl/>
        <w:spacing w:line="360" w:lineRule="auto"/>
        <w:ind w:left="420"/>
        <w:contextualSpacing/>
        <w:rPr>
          <w:rFonts w:ascii="宋体" w:hAnsi="宋体" w:hint="eastAsia"/>
        </w:rPr>
      </w:pPr>
      <w:r>
        <w:rPr>
          <w:rFonts w:ascii="宋体" w:hAnsi="宋体" w:hint="eastAsia"/>
        </w:rPr>
        <w:t>（三）</w:t>
      </w:r>
      <w:r w:rsidR="00B90D43">
        <w:rPr>
          <w:rFonts w:ascii="宋体" w:hAnsi="宋体" w:hint="eastAsia"/>
        </w:rPr>
        <w:t>投资者保证其有权利签署本协议和履行本协议所述的义务，并已为此采取一切所需的行为。</w:t>
      </w:r>
    </w:p>
    <w:p w:rsidR="00B90D43" w:rsidRDefault="005A460C" w:rsidP="005A460C">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投资者保证执行及交付任何文件或履行本协议项下的义务，均不会违反任何适用法律、法规、法令或法律限制，任何法院或其他政府机关所</w:t>
      </w:r>
      <w:proofErr w:type="gramStart"/>
      <w:r w:rsidR="00B90D43">
        <w:rPr>
          <w:rFonts w:ascii="宋体" w:hAnsi="宋体" w:hint="eastAsia"/>
        </w:rPr>
        <w:t>作出</w:t>
      </w:r>
      <w:proofErr w:type="gramEnd"/>
      <w:r w:rsidR="00B90D43">
        <w:rPr>
          <w:rFonts w:ascii="宋体" w:hAnsi="宋体" w:hint="eastAsia"/>
        </w:rPr>
        <w:t>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rsidR="00B90D43" w:rsidRDefault="005A460C" w:rsidP="005A460C">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rsidR="00B90D43" w:rsidRDefault="005A460C" w:rsidP="005A460C">
      <w:pPr>
        <w:widowControl/>
        <w:spacing w:line="360" w:lineRule="auto"/>
        <w:ind w:firstLine="420"/>
        <w:contextualSpacing/>
        <w:rPr>
          <w:rFonts w:ascii="宋体" w:hAnsi="宋体" w:hint="eastAsia"/>
        </w:rPr>
      </w:pPr>
      <w:r>
        <w:rPr>
          <w:rFonts w:ascii="宋体" w:hAnsi="宋体" w:hint="eastAsia"/>
        </w:rPr>
        <w:lastRenderedPageBreak/>
        <w:t>（六）</w:t>
      </w:r>
      <w:r w:rsidR="00B90D43">
        <w:rPr>
          <w:rFonts w:ascii="宋体" w:hAnsi="宋体" w:hint="eastAsia"/>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rsidR="00B90D43" w:rsidRDefault="00EC3BAF" w:rsidP="00EC3BAF">
      <w:pPr>
        <w:widowControl/>
        <w:spacing w:line="360" w:lineRule="auto"/>
        <w:ind w:firstLine="420"/>
        <w:contextualSpacing/>
        <w:rPr>
          <w:rFonts w:ascii="宋体" w:hAnsi="宋体" w:hint="eastAsia"/>
        </w:rPr>
      </w:pPr>
      <w:r>
        <w:rPr>
          <w:rFonts w:ascii="宋体" w:hAnsi="宋体" w:hint="eastAsia"/>
        </w:rPr>
        <w:t>（七）</w:t>
      </w:r>
      <w:r w:rsidR="00B90D43">
        <w:rPr>
          <w:rFonts w:ascii="宋体" w:hAnsi="宋体" w:hint="eastAsia"/>
        </w:rPr>
        <w:t>本协议终止前，投资者不得将授权指定账户销户。若发生因投资者注销授权指定账户造成理财计划无法正常兑付的，管理人不承担任何责任。</w:t>
      </w:r>
    </w:p>
    <w:p w:rsidR="00B90D43" w:rsidRDefault="00EC3BAF" w:rsidP="00EC3BAF">
      <w:pPr>
        <w:widowControl/>
        <w:spacing w:line="360" w:lineRule="auto"/>
        <w:ind w:firstLine="420"/>
        <w:contextualSpacing/>
        <w:rPr>
          <w:rFonts w:ascii="宋体" w:hAnsi="宋体" w:hint="eastAsia"/>
        </w:rPr>
      </w:pPr>
      <w:r>
        <w:rPr>
          <w:rFonts w:ascii="宋体" w:hAnsi="宋体" w:hint="eastAsia"/>
        </w:rPr>
        <w:t>（八）</w:t>
      </w:r>
      <w:r w:rsidR="00B90D43">
        <w:rPr>
          <w:rFonts w:ascii="宋体" w:hAnsi="宋体" w:hint="eastAsia"/>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rsidR="00B90D43" w:rsidRDefault="00EC3BAF" w:rsidP="00EC3BAF">
      <w:pPr>
        <w:widowControl/>
        <w:spacing w:line="360" w:lineRule="auto"/>
        <w:ind w:firstLine="420"/>
        <w:contextualSpacing/>
        <w:rPr>
          <w:rFonts w:ascii="宋体" w:hAnsi="宋体" w:hint="eastAsia"/>
        </w:rPr>
      </w:pPr>
      <w:r>
        <w:rPr>
          <w:rFonts w:ascii="宋体" w:hAnsi="宋体" w:hint="eastAsia"/>
        </w:rPr>
        <w:t>（九）</w:t>
      </w:r>
      <w:r w:rsidR="00B90D43">
        <w:rPr>
          <w:rFonts w:ascii="宋体" w:hAnsi="宋体" w:hint="eastAsia"/>
        </w:rPr>
        <w:t xml:space="preserve">投资者进行投资时，应严格遵守反洗钱相关法规的规定，切实履行反洗钱及反恐怖融资义务。 </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left="422"/>
        <w:rPr>
          <w:rFonts w:ascii="宋体" w:hAnsi="宋体"/>
          <w:b/>
          <w:bCs/>
        </w:rPr>
      </w:pPr>
      <w:r>
        <w:rPr>
          <w:rFonts w:ascii="宋体" w:hAnsi="宋体" w:hint="eastAsia"/>
          <w:b/>
          <w:bCs/>
        </w:rPr>
        <w:t xml:space="preserve">第三条 </w:t>
      </w:r>
      <w:r w:rsidR="00B90D43">
        <w:rPr>
          <w:rFonts w:ascii="宋体" w:hAnsi="宋体" w:hint="eastAsia"/>
          <w:b/>
          <w:bCs/>
        </w:rPr>
        <w:t>管理人权利与义务</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管理人应当诚实守信、勤勉尽责地履行受人之托、代人理财职责。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 xml:space="preserve">管理人应当按照理财计划销售文件的约定收取管理费用、确定收益分配方案、向投资者分配收益。 </w:t>
      </w:r>
    </w:p>
    <w:p w:rsidR="00B90D43" w:rsidRDefault="006C390E" w:rsidP="006C390E">
      <w:pPr>
        <w:widowControl/>
        <w:spacing w:line="360" w:lineRule="auto"/>
        <w:ind w:left="420"/>
        <w:contextualSpacing/>
        <w:rPr>
          <w:rFonts w:ascii="宋体" w:hAnsi="宋体" w:hint="eastAsia"/>
        </w:rPr>
      </w:pPr>
      <w:r>
        <w:rPr>
          <w:rFonts w:ascii="宋体" w:hAnsi="宋体" w:hint="eastAsia"/>
        </w:rPr>
        <w:t>（三）</w:t>
      </w:r>
      <w:r w:rsidR="00B90D43">
        <w:rPr>
          <w:rFonts w:ascii="宋体" w:hAnsi="宋体" w:hint="eastAsia"/>
        </w:rPr>
        <w:t xml:space="preserve">管理人应当按照理财计划销售文件的约定履行风险揭示及信息披露义务。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 xml:space="preserve">管理人应当确保理财业务与其他业务相分离，理财计划之间相分离，理财业务操作与其他业务操作相分离。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管理人不得将理财计划财产归入其自有资产，因依法解散、被依法撤销或者被依法宣告破产等原因进行清算的，理财计划财产不属于其清算财产。</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 xml:space="preserve">管理人应当选择具有证券投资基金托管业务资格的金融机构、银行业理财登记托管机构或者国务院银行业监督管理机构认可的其他机构托管理财计划。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（七）</w:t>
      </w:r>
      <w:r w:rsidR="00B90D43">
        <w:rPr>
          <w:rFonts w:ascii="宋体" w:hAnsi="宋体" w:hint="eastAsia"/>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（八）</w:t>
      </w:r>
      <w:r w:rsidR="00B90D43">
        <w:rPr>
          <w:rFonts w:ascii="宋体" w:hAnsi="宋体" w:hint="eastAsia"/>
        </w:rPr>
        <w:t>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w:t>
      </w:r>
      <w:proofErr w:type="gramStart"/>
      <w:r w:rsidR="00B90D43">
        <w:rPr>
          <w:rFonts w:ascii="宋体" w:hAnsi="宋体" w:hint="eastAsia"/>
        </w:rPr>
        <w:t>方明确</w:t>
      </w:r>
      <w:proofErr w:type="gramEnd"/>
      <w:r w:rsidR="00B90D43">
        <w:rPr>
          <w:rFonts w:ascii="宋体" w:hAnsi="宋体" w:hint="eastAsia"/>
        </w:rPr>
        <w:t xml:space="preserve">其保护投资者信息的职责并要求其承担相应保密义务。 </w:t>
      </w:r>
    </w:p>
    <w:p w:rsidR="00B90D43" w:rsidRDefault="006C390E" w:rsidP="006C390E">
      <w:pPr>
        <w:widowControl/>
        <w:spacing w:line="360" w:lineRule="auto"/>
        <w:ind w:firstLine="420"/>
        <w:contextualSpacing/>
        <w:rPr>
          <w:rFonts w:ascii="宋体" w:hAnsi="宋体" w:hint="eastAsia"/>
        </w:rPr>
      </w:pPr>
      <w:r>
        <w:rPr>
          <w:rFonts w:ascii="宋体" w:hAnsi="宋体" w:hint="eastAsia"/>
        </w:rPr>
        <w:lastRenderedPageBreak/>
        <w:t>（九）</w:t>
      </w:r>
      <w:r w:rsidR="00B90D43">
        <w:rPr>
          <w:rFonts w:ascii="宋体" w:hAnsi="宋体" w:hint="eastAsia"/>
        </w:rPr>
        <w:t>管理人在此特别披露：若理财计划管理人的关联</w:t>
      </w:r>
      <w:proofErr w:type="gramStart"/>
      <w:r w:rsidR="00B90D43">
        <w:rPr>
          <w:rFonts w:ascii="宋体" w:hAnsi="宋体" w:hint="eastAsia"/>
        </w:rPr>
        <w:t>方担任</w:t>
      </w:r>
      <w:proofErr w:type="gramEnd"/>
      <w:r w:rsidR="00B90D43">
        <w:rPr>
          <w:rFonts w:ascii="宋体" w:hAnsi="宋体" w:hint="eastAsia"/>
        </w:rPr>
        <w:t xml:space="preserve">理财计划的代销机构、托管人、合作机构的，理财计划管理人将按照法律法规和监管要求履行相应程序，投资者认购或申购理财计划即视为同意该等安排。 </w:t>
      </w:r>
    </w:p>
    <w:p w:rsidR="00B90D43" w:rsidRDefault="00B90D43">
      <w:pPr>
        <w:spacing w:line="360" w:lineRule="auto"/>
        <w:rPr>
          <w:rFonts w:hint="eastAsia"/>
          <w:b/>
          <w:bCs/>
        </w:rPr>
      </w:pPr>
      <w:r>
        <w:rPr>
          <w:b/>
          <w:bCs/>
        </w:rPr>
        <w:t xml:space="preserve"> </w:t>
      </w:r>
    </w:p>
    <w:p w:rsidR="00B90D43" w:rsidRDefault="00EC3BAF" w:rsidP="00EC3BAF">
      <w:pPr>
        <w:spacing w:line="360" w:lineRule="auto"/>
        <w:ind w:left="422"/>
        <w:rPr>
          <w:rFonts w:ascii="宋体" w:hAnsi="宋体"/>
          <w:b/>
          <w:bCs/>
        </w:rPr>
      </w:pPr>
      <w:r>
        <w:rPr>
          <w:rFonts w:ascii="宋体" w:hAnsi="宋体" w:hint="eastAsia"/>
          <w:b/>
          <w:bCs/>
        </w:rPr>
        <w:t xml:space="preserve">第四条 </w:t>
      </w:r>
      <w:r w:rsidR="00B90D43">
        <w:rPr>
          <w:rFonts w:ascii="宋体" w:hAnsi="宋体" w:hint="eastAsia"/>
          <w:b/>
          <w:bCs/>
        </w:rPr>
        <w:t>理财计划认（申）购、赎回及终止</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理财计划认/申购办理流程：参照《投资者权益须知》约定。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 xml:space="preserve">理财计划投资品种、投资起点金额、收益支付方式：参照对应期次的《理财计划产品说明书》中的条款约定。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理财计划赎回/终止兑付：在正常情况下，管理人和代销机构将按照对应期次的《理财计划产品说明书》相关约定，将兑付款项划入投资者授权杭银</w:t>
      </w:r>
      <w:proofErr w:type="gramStart"/>
      <w:r w:rsidR="00B90D43">
        <w:rPr>
          <w:rFonts w:ascii="宋体" w:hAnsi="宋体" w:hint="eastAsia"/>
        </w:rPr>
        <w:t>理财理财</w:t>
      </w:r>
      <w:proofErr w:type="gramEnd"/>
      <w:r w:rsidR="00B90D43">
        <w:rPr>
          <w:rFonts w:ascii="宋体" w:hAnsi="宋体" w:hint="eastAsia"/>
        </w:rPr>
        <w:t>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firstLine="420"/>
        <w:rPr>
          <w:rFonts w:ascii="宋体" w:hAnsi="宋体"/>
          <w:b/>
          <w:bCs/>
        </w:rPr>
      </w:pPr>
      <w:r>
        <w:rPr>
          <w:rFonts w:ascii="宋体" w:hAnsi="宋体" w:hint="eastAsia"/>
          <w:b/>
          <w:bCs/>
        </w:rPr>
        <w:t xml:space="preserve">第五条 </w:t>
      </w:r>
      <w:r w:rsidR="00B90D43">
        <w:rPr>
          <w:rFonts w:ascii="宋体" w:hAnsi="宋体" w:hint="eastAsia"/>
          <w:b/>
          <w:bCs/>
        </w:rPr>
        <w:t>税收处理</w:t>
      </w:r>
    </w:p>
    <w:p w:rsidR="00B90D43" w:rsidRDefault="00B90D43">
      <w:pPr>
        <w:widowControl/>
        <w:spacing w:line="360" w:lineRule="auto"/>
        <w:ind w:firstLineChars="200" w:firstLine="420"/>
        <w:contextualSpacing/>
        <w:rPr>
          <w:rFonts w:ascii="宋体" w:hAnsi="宋体" w:hint="eastAsia"/>
        </w:rPr>
      </w:pPr>
      <w:r>
        <w:rPr>
          <w:rFonts w:ascii="宋体" w:hAnsi="宋体" w:hint="eastAsia"/>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rsidR="00B90D43" w:rsidRDefault="00B90D43">
      <w:pPr>
        <w:widowControl/>
        <w:spacing w:line="360" w:lineRule="auto"/>
        <w:ind w:firstLineChars="200" w:firstLine="420"/>
        <w:contextualSpacing/>
        <w:rPr>
          <w:rFonts w:ascii="宋体" w:hAnsi="宋体" w:hint="eastAsia"/>
        </w:rPr>
      </w:pPr>
      <w:r>
        <w:rPr>
          <w:rFonts w:ascii="宋体" w:hAnsi="宋体" w:hint="eastAsia"/>
        </w:rPr>
        <w:lastRenderedPageBreak/>
        <w:t xml:space="preserve"> </w:t>
      </w:r>
    </w:p>
    <w:p w:rsidR="00B90D43" w:rsidRDefault="00EC3BAF" w:rsidP="00EC3BAF">
      <w:pPr>
        <w:spacing w:line="360" w:lineRule="auto"/>
        <w:ind w:firstLine="420"/>
        <w:rPr>
          <w:rFonts w:ascii="宋体" w:hAnsi="宋体" w:hint="eastAsia"/>
          <w:b/>
          <w:bCs/>
        </w:rPr>
      </w:pPr>
      <w:r>
        <w:rPr>
          <w:rFonts w:ascii="宋体" w:hAnsi="宋体" w:hint="eastAsia"/>
          <w:b/>
          <w:bCs/>
        </w:rPr>
        <w:t xml:space="preserve">第六条 </w:t>
      </w:r>
      <w:r w:rsidR="00B90D43">
        <w:rPr>
          <w:rFonts w:ascii="宋体" w:hAnsi="宋体" w:hint="eastAsia"/>
          <w:b/>
          <w:bCs/>
        </w:rPr>
        <w:t>违约责任及免责条款</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（一）</w:t>
      </w:r>
      <w:r w:rsidR="00B90D43">
        <w:rPr>
          <w:rFonts w:ascii="宋体" w:hAnsi="宋体" w:hint="eastAsia"/>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w:t>
      </w:r>
      <w:proofErr w:type="gramStart"/>
      <w:r w:rsidR="00B90D43">
        <w:rPr>
          <w:rFonts w:ascii="宋体" w:hAnsi="宋体" w:hint="eastAsia"/>
        </w:rPr>
        <w:t>付存款</w:t>
      </w:r>
      <w:proofErr w:type="gramEnd"/>
      <w:r w:rsidR="00B90D43">
        <w:rPr>
          <w:rFonts w:ascii="宋体" w:hAnsi="宋体" w:hint="eastAsia"/>
        </w:rPr>
        <w:t>利息。</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若由于管理人过错导致理财计划资产发生损失，管理人应按其过错承担赔偿责任，管理人赔偿的款项计入本理财计划的资产和收益，由所有投资者按理财本金比例分配。</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因国家有关法律、法规、规章、政策的修改或新的法律、法规、规章、政策颁布以及紧急措施的出台导致的风险及损失，管理人不承担责任。</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管理人若严格按照产品说明书相关规定进行投资运作，给投资者造成损失的，应免除管理人责任。</w:t>
      </w:r>
    </w:p>
    <w:p w:rsidR="00B90D43" w:rsidRDefault="00B90D43">
      <w:pPr>
        <w:widowControl/>
        <w:spacing w:line="360" w:lineRule="auto"/>
        <w:contextualSpacing/>
        <w:rPr>
          <w:rFonts w:ascii="宋体" w:hAnsi="宋体" w:hint="eastAsia"/>
        </w:rPr>
      </w:pPr>
      <w:r>
        <w:rPr>
          <w:rFonts w:ascii="宋体" w:hAnsi="宋体" w:hint="eastAsia"/>
        </w:rPr>
        <w:t xml:space="preserve"> </w:t>
      </w:r>
    </w:p>
    <w:p w:rsidR="00B90D43" w:rsidRDefault="00EC3BAF" w:rsidP="00EC3BAF">
      <w:pPr>
        <w:spacing w:line="360" w:lineRule="auto"/>
        <w:ind w:firstLine="420"/>
        <w:rPr>
          <w:rFonts w:hint="eastAsia"/>
          <w:b/>
          <w:bCs/>
        </w:rPr>
      </w:pPr>
      <w:r>
        <w:rPr>
          <w:rFonts w:ascii="宋体" w:hAnsi="宋体" w:hint="eastAsia"/>
          <w:b/>
          <w:bCs/>
        </w:rPr>
        <w:t xml:space="preserve">第七条 </w:t>
      </w:r>
      <w:r w:rsidR="00B90D43">
        <w:rPr>
          <w:rFonts w:ascii="宋体" w:hAnsi="宋体" w:hint="eastAsia"/>
          <w:b/>
          <w:bCs/>
        </w:rPr>
        <w:t>适用法律与争议解决</w:t>
      </w:r>
    </w:p>
    <w:p w:rsidR="00B90D43" w:rsidRDefault="00B90D43">
      <w:pPr>
        <w:widowControl/>
        <w:spacing w:line="360" w:lineRule="auto"/>
        <w:ind w:firstLineChars="200" w:firstLine="420"/>
        <w:contextualSpacing/>
        <w:rPr>
          <w:rFonts w:ascii="宋体" w:hAnsi="宋体"/>
        </w:rPr>
      </w:pPr>
      <w:r>
        <w:rPr>
          <w:rFonts w:ascii="宋体" w:hAnsi="宋体" w:hint="eastAsia"/>
        </w:rPr>
        <w:t>本合同适用</w:t>
      </w:r>
      <w:r>
        <w:rPr>
          <w:rFonts w:ascii="宋体" w:hAnsi="宋体" w:hint="eastAsia"/>
          <w:color w:val="000000"/>
        </w:rPr>
        <w:t>中华人民共和国（仅为明确本合同适用法律规则，不含香港特别行政区、澳门特别行政区及中国台湾地区）</w:t>
      </w:r>
      <w:r>
        <w:rPr>
          <w:rFonts w:ascii="宋体" w:hAnsi="宋体" w:hint="eastAsia"/>
        </w:rPr>
        <w:t>的法律和行政法规。本合同项下的及与之有关的一切争议，投资者与管理人双方应首先协商解决，协商不成的，应提交管理人所在地人民法院司法裁决。诉讼期间，未涉及争议的条款仍需继续履行。</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firstLine="420"/>
        <w:rPr>
          <w:rFonts w:ascii="宋体" w:hAnsi="宋体"/>
          <w:b/>
          <w:bCs/>
        </w:rPr>
      </w:pPr>
      <w:r>
        <w:rPr>
          <w:rFonts w:ascii="宋体" w:hAnsi="宋体" w:hint="eastAsia"/>
          <w:b/>
          <w:bCs/>
        </w:rPr>
        <w:t xml:space="preserve">第八条 </w:t>
      </w:r>
      <w:r w:rsidR="00B90D43">
        <w:rPr>
          <w:rFonts w:ascii="宋体" w:hAnsi="宋体" w:hint="eastAsia"/>
          <w:b/>
          <w:bCs/>
        </w:rPr>
        <w:t>协议生效和终止</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投资者和管理人双方认可本协议可以纸质或电子数据等形式提交、订立或确认。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 xml:space="preserve">本协议书以纸质书面形式订立的，自投资者签字和销售机构代表管理人签署盖章之后立即生效。协议一式贰份，投资者和管理人双方各执壹份，具有同等法律效力。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本协议书以数据电文形式订立的，投资者在销售机构的电子银行（包括但不限于网上银行、手机银行或监管机构认可的其他销售渠道）点击购买理财计划，投资者使用的身份认证要素或其他安全措施</w:t>
      </w:r>
      <w:r w:rsidR="00B90D43">
        <w:rPr>
          <w:rFonts w:ascii="宋体" w:hAnsi="宋体" w:hint="eastAsia"/>
        </w:rPr>
        <w:lastRenderedPageBreak/>
        <w:t>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投资者和管理人双方在本协议及对应期次的《理财计划产品说明书》项下权利义务履行完毕之日，本协议自动终止。</w:t>
      </w:r>
    </w:p>
    <w:p w:rsidR="00B90D43" w:rsidRDefault="00B90D43">
      <w:pPr>
        <w:widowControl/>
        <w:spacing w:line="360" w:lineRule="auto"/>
        <w:ind w:left="6"/>
        <w:contextualSpacing/>
        <w:rPr>
          <w:rFonts w:ascii="宋体" w:hAnsi="宋体" w:hint="eastAsia"/>
        </w:rPr>
      </w:pPr>
      <w:r>
        <w:rPr>
          <w:rFonts w:ascii="宋体" w:hAnsi="宋体" w:hint="eastAsia"/>
        </w:rPr>
        <w:t xml:space="preserve"> </w:t>
      </w:r>
    </w:p>
    <w:p w:rsidR="00B90D43" w:rsidRDefault="00EC3BAF" w:rsidP="00EC3BAF">
      <w:pPr>
        <w:spacing w:line="360" w:lineRule="auto"/>
        <w:ind w:firstLine="420"/>
        <w:rPr>
          <w:rFonts w:hint="eastAsia"/>
          <w:b/>
          <w:bCs/>
        </w:rPr>
      </w:pPr>
      <w:r>
        <w:rPr>
          <w:rFonts w:ascii="宋体" w:hAnsi="宋体" w:hint="eastAsia"/>
          <w:b/>
          <w:bCs/>
        </w:rPr>
        <w:t xml:space="preserve">第九条 </w:t>
      </w:r>
      <w:r w:rsidR="00B90D43">
        <w:rPr>
          <w:rFonts w:ascii="宋体" w:hAnsi="宋体" w:hint="eastAsia"/>
          <w:b/>
          <w:bCs/>
        </w:rPr>
        <w:t>附则</w:t>
      </w:r>
    </w:p>
    <w:p w:rsidR="00B90D43" w:rsidRDefault="006C390E" w:rsidP="006C390E">
      <w:pPr>
        <w:widowControl/>
        <w:spacing w:line="360" w:lineRule="auto"/>
        <w:ind w:firstLine="420"/>
        <w:contextualSpacing/>
        <w:rPr>
          <w:rFonts w:ascii="宋体" w:hAnsi="宋体"/>
        </w:rPr>
      </w:pPr>
      <w:r>
        <w:rPr>
          <w:rFonts w:ascii="宋体" w:hAnsi="宋体" w:hint="eastAsia"/>
        </w:rPr>
        <w:t>（一）</w:t>
      </w:r>
      <w:r w:rsidR="00B90D43">
        <w:rPr>
          <w:rFonts w:ascii="宋体" w:hAnsi="宋体" w:hint="eastAsia"/>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如果由于任何原因使本合同下的任何条款或内容成为无效或被依法撤销，本合同其他条款或内容的合法性、有效性和</w:t>
      </w:r>
      <w:proofErr w:type="gramStart"/>
      <w:r w:rsidR="00B90D43">
        <w:rPr>
          <w:rFonts w:ascii="宋体" w:hAnsi="宋体" w:hint="eastAsia"/>
        </w:rPr>
        <w:t>可</w:t>
      </w:r>
      <w:proofErr w:type="gramEnd"/>
      <w:r w:rsidR="00B90D43">
        <w:rPr>
          <w:rFonts w:ascii="宋体" w:hAnsi="宋体" w:hint="eastAsia"/>
        </w:rPr>
        <w:t>执行性不受影响。</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在理财计划存续期内，如因监管政策或法律法规发生变化，在不损害投资者利益的前提下，管理人有权单方对理财计划合同进行修订。</w:t>
      </w:r>
    </w:p>
    <w:p w:rsidR="00B90D43" w:rsidRDefault="00B90D43">
      <w:pPr>
        <w:spacing w:line="360" w:lineRule="auto"/>
        <w:rPr>
          <w:rFonts w:ascii="宋体" w:hAnsi="宋体" w:hint="eastAsia"/>
          <w:color w:val="000000"/>
        </w:rPr>
      </w:pPr>
      <w:r>
        <w:rPr>
          <w:rFonts w:ascii="宋体" w:hAnsi="宋体" w:hint="eastAsia"/>
          <w:color w:val="000000"/>
        </w:rPr>
        <w:t xml:space="preserve"> </w:t>
      </w:r>
    </w:p>
    <w:p w:rsidR="00B90D43" w:rsidRDefault="00B90D43">
      <w:pPr>
        <w:spacing w:line="360" w:lineRule="auto"/>
        <w:rPr>
          <w:rFonts w:ascii="宋体" w:hAnsi="宋体" w:hint="eastAsia"/>
          <w:color w:val="000000"/>
        </w:rPr>
      </w:pPr>
      <w:r>
        <w:rPr>
          <w:rFonts w:ascii="宋体" w:hAnsi="宋体" w:hint="eastAsia"/>
          <w:color w:val="000000"/>
        </w:rPr>
        <w:t xml:space="preserve"> </w:t>
      </w:r>
    </w:p>
    <w:p w:rsidR="00B90D43" w:rsidRDefault="00B90D43">
      <w:pPr>
        <w:pStyle w:val="a8"/>
        <w:widowControl/>
        <w:spacing w:line="360" w:lineRule="auto"/>
        <w:jc w:val="right"/>
        <w:rPr>
          <w:rFonts w:ascii="宋体" w:hAnsi="宋体"/>
          <w:kern w:val="0"/>
          <w:sz w:val="21"/>
          <w:szCs w:val="21"/>
        </w:rPr>
      </w:pPr>
      <w:r>
        <w:rPr>
          <w:rFonts w:ascii="宋体" w:hAnsi="宋体" w:hint="eastAsia"/>
          <w:kern w:val="0"/>
          <w:sz w:val="21"/>
          <w:szCs w:val="21"/>
        </w:rPr>
        <w:t>杭银理财有限责任公司</w:t>
      </w:r>
    </w:p>
    <w:p w:rsidR="00B90D43" w:rsidRDefault="00B90D43" w:rsidP="00CA6440">
      <w:pPr>
        <w:rPr>
          <w:rFonts w:ascii="宋体" w:hAnsi="Wingdings" w:cs="宋体" w:hint="eastAsia"/>
          <w:color w:val="000000"/>
          <w:kern w:val="0"/>
        </w:rPr>
      </w:pPr>
    </w:p>
    <w:p w:rsidR="00B90D43" w:rsidRDefault="00B90D43"/>
    <w:p>
      <w:r>
        <w:br w:type="page"/>
      </w:r>
    </w:p>
    <w:p w:rsidR="00B90D43" w:rsidRDefault="00B90D43">
      <w:pPr>
        <w:jc w:val="center"/>
        <w:rPr>
          <w:rFonts w:cs="黑体"/>
          <w:b/>
          <w:bCs/>
          <w:sz w:val="44"/>
          <w:szCs w:val="44"/>
        </w:rPr>
      </w:pPr>
      <w:bookmarkStart w:id="0" w:name="_GoBack"/>
      <w:bookmarkEnd w:id="0"/>
      <w:r>
        <w:rPr>
          <w:rFonts w:ascii="宋体" w:hAnsi="宋体" w:hint="eastAsia"/>
          <w:b/>
          <w:bCs/>
          <w:sz w:val="32"/>
          <w:szCs w:val="32"/>
        </w:rPr>
        <w:t>杭银理财理财计划销售协议书</w:t>
      </w:r>
    </w:p>
    <w:p w:rsidR="00B90D43" w:rsidRDefault="00B90D43">
      <w:pPr>
        <w:jc w:val="center"/>
        <w:rPr>
          <w:rFonts w:ascii="宋体" w:hAnsi="宋体"/>
        </w:rPr>
      </w:pPr>
      <w:r>
        <w:rPr>
          <w:rFonts w:ascii="宋体" w:hAnsi="宋体" w:hint="eastAsia"/>
          <w:szCs w:val="21"/>
        </w:rPr>
        <w:t>（202101版）</w:t>
      </w:r>
    </w:p>
    <w:p w:rsidR="00B90D43" w:rsidRDefault="00B90D43">
      <w:pPr>
        <w:autoSpaceDE w:val="0"/>
        <w:spacing w:line="360" w:lineRule="auto"/>
        <w:jc w:val="center"/>
      </w:pPr>
    </w:p>
    <w:p w:rsidR="00B90D43" w:rsidRDefault="00B90D43">
      <w:pPr>
        <w:autoSpaceDE w:val="0"/>
        <w:spacing w:line="360" w:lineRule="auto"/>
        <w:ind w:firstLineChars="200" w:firstLine="422"/>
        <w:rPr>
          <w:rFonts w:ascii="宋体" w:hAnsi="宋体" w:cs="黑体"/>
          <w:b/>
          <w:bCs/>
        </w:rPr>
      </w:pPr>
      <w:r>
        <w:rPr>
          <w:rFonts w:ascii="宋体" w:hAnsi="宋体" w:cs="黑体" w:hint="eastAsia"/>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rsidR="00B90D43" w:rsidRDefault="00B90D43">
      <w:pPr>
        <w:autoSpaceDE w:val="0"/>
        <w:spacing w:line="360" w:lineRule="auto"/>
        <w:ind w:firstLineChars="200" w:firstLine="422"/>
        <w:rPr>
          <w:rFonts w:ascii="宋体" w:hAnsi="宋体" w:cs="黑体"/>
          <w:b/>
          <w:bCs/>
        </w:rPr>
      </w:pPr>
      <w:r>
        <w:rPr>
          <w:rFonts w:ascii="宋体" w:hAnsi="宋体" w:cs="黑体" w:hint="eastAsia"/>
          <w:b/>
          <w:bCs/>
        </w:rPr>
        <w:t>理财非存款、产品有风险、投资须谨慎，理财计划过往业绩不代表其未来表现，不等于理财计划实际收益。</w:t>
      </w:r>
    </w:p>
    <w:p w:rsidR="00B90D43" w:rsidRDefault="00B90D43">
      <w:pPr>
        <w:widowControl/>
        <w:autoSpaceDE w:val="0"/>
        <w:spacing w:line="360" w:lineRule="auto"/>
        <w:ind w:firstLineChars="200" w:firstLine="420"/>
        <w:rPr>
          <w:rFonts w:ascii="宋体" w:hAnsi="宋体" w:cs="黑体"/>
        </w:rPr>
      </w:pPr>
      <w:r>
        <w:rPr>
          <w:rFonts w:ascii="宋体" w:hAnsi="宋体" w:cs="黑体" w:hint="eastAsia"/>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rsidR="00B90D43" w:rsidRDefault="00B90D43">
      <w:pPr>
        <w:widowControl/>
        <w:autoSpaceDE w:val="0"/>
        <w:spacing w:line="360" w:lineRule="auto"/>
        <w:ind w:firstLineChars="200" w:firstLine="420"/>
        <w:rPr>
          <w:rFonts w:ascii="宋体" w:hAnsi="宋体" w:cs="黑体"/>
        </w:rPr>
      </w:pPr>
      <w:r>
        <w:rPr>
          <w:rFonts w:ascii="宋体" w:hAnsi="宋体" w:cs="黑体" w:hint="eastAsia"/>
        </w:rPr>
        <w:t>投资者与代理销售机构经平等友好协商，本着自愿、诚实信用原则，就投资者购买代理销售机构代理销售的理财计划有关事宜达成如下协议（以下简称“本协议”）：</w:t>
      </w:r>
    </w:p>
    <w:p w:rsidR="00B90D43" w:rsidRDefault="00B90D43">
      <w:pPr>
        <w:widowControl/>
        <w:autoSpaceDE w:val="0"/>
        <w:spacing w:line="360" w:lineRule="auto"/>
        <w:ind w:firstLineChars="200" w:firstLine="420"/>
        <w:rPr>
          <w:rFonts w:ascii="宋体" w:hAnsi="宋体" w:cs="黑体"/>
        </w:rPr>
      </w:pPr>
    </w:p>
    <w:p w:rsidR="00B90D43" w:rsidRDefault="00662ADB" w:rsidP="00662ADB">
      <w:pPr>
        <w:widowControl/>
        <w:autoSpaceDE w:val="0"/>
        <w:spacing w:line="360" w:lineRule="auto"/>
        <w:ind w:left="422"/>
        <w:rPr>
          <w:rFonts w:ascii="宋体" w:hAnsi="宋体" w:cs="黑体"/>
          <w:b/>
          <w:bCs/>
        </w:rPr>
      </w:pPr>
      <w:r>
        <w:rPr>
          <w:rFonts w:ascii="宋体" w:hAnsi="宋体" w:cs="黑体" w:hint="eastAsia"/>
          <w:b/>
          <w:bCs/>
        </w:rPr>
        <w:t xml:space="preserve">第一条 </w:t>
      </w:r>
      <w:r w:rsidR="00B90D43">
        <w:rPr>
          <w:rFonts w:ascii="宋体" w:hAnsi="宋体" w:cs="黑体" w:hint="eastAsia"/>
          <w:b/>
          <w:bCs/>
        </w:rPr>
        <w:t>名词释义</w:t>
      </w:r>
    </w:p>
    <w:p w:rsidR="00B90D43" w:rsidRDefault="00B90D43">
      <w:pPr>
        <w:widowControl/>
        <w:autoSpaceDE w:val="0"/>
        <w:spacing w:line="360" w:lineRule="auto"/>
        <w:ind w:firstLineChars="200" w:firstLine="420"/>
        <w:jc w:val="left"/>
        <w:rPr>
          <w:rFonts w:ascii="宋体" w:hAnsi="宋体" w:cs="黑体"/>
        </w:rPr>
      </w:pPr>
      <w:r>
        <w:rPr>
          <w:rFonts w:ascii="宋体" w:hAnsi="宋体" w:cs="黑体" w:hint="eastAsia"/>
        </w:rPr>
        <w:t>详见对应期次的理财计划产品说明书“释义”部分。</w:t>
      </w:r>
    </w:p>
    <w:p w:rsidR="00B90D43" w:rsidRDefault="00B90D43">
      <w:pPr>
        <w:widowControl/>
        <w:autoSpaceDE w:val="0"/>
        <w:spacing w:line="360" w:lineRule="auto"/>
        <w:ind w:firstLineChars="200" w:firstLine="420"/>
        <w:jc w:val="left"/>
        <w:rPr>
          <w:rFonts w:ascii="宋体" w:hAnsi="宋体" w:cs="黑体"/>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第二条 </w:t>
      </w:r>
      <w:r w:rsidR="00B90D43">
        <w:rPr>
          <w:rFonts w:ascii="宋体" w:hAnsi="宋体" w:cs="黑体" w:hint="eastAsia"/>
          <w:b/>
          <w:bCs/>
        </w:rPr>
        <w:t>投资者权利与义务</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sidR="00B90D43">
        <w:rPr>
          <w:rFonts w:ascii="宋体" w:hAnsi="宋体" w:cs="黑体" w:hint="eastAsia"/>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投资者保证自身完全了解理财投资的性质，投资所涉及的风险以及自身风险承受能力，在慎重考虑后独立作出交易决定。</w:t>
      </w:r>
    </w:p>
    <w:p w:rsidR="00B90D43" w:rsidRDefault="00662ADB" w:rsidP="00662ADB">
      <w:pPr>
        <w:widowControl/>
        <w:spacing w:line="360" w:lineRule="auto"/>
        <w:ind w:firstLine="420"/>
        <w:contextualSpacing/>
        <w:rPr>
          <w:rFonts w:ascii="宋体" w:hAnsi="宋体" w:cs="黑体"/>
        </w:rPr>
      </w:pPr>
      <w:r>
        <w:rPr>
          <w:rFonts w:ascii="宋体" w:hAnsi="宋体" w:cs="黑体" w:hint="eastAsia"/>
          <w:b/>
          <w:bCs/>
        </w:rPr>
        <w:lastRenderedPageBreak/>
        <w:t>（三）</w:t>
      </w:r>
      <w:r w:rsidR="00B90D43">
        <w:rPr>
          <w:rFonts w:ascii="宋体" w:hAnsi="宋体" w:cs="黑体" w:hint="eastAsia"/>
          <w:b/>
          <w:bCs/>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sidR="00B90D43">
        <w:rPr>
          <w:rFonts w:ascii="宋体" w:hAnsi="宋体" w:cs="黑体" w:hint="eastAsia"/>
        </w:rPr>
        <w:t>投资冷静期相关约定详见理财计划产品说明书。</w:t>
      </w:r>
    </w:p>
    <w:p w:rsidR="00B90D43" w:rsidRDefault="00662ADB" w:rsidP="00662ADB">
      <w:pPr>
        <w:widowControl/>
        <w:spacing w:line="360" w:lineRule="auto"/>
        <w:ind w:left="420"/>
        <w:contextualSpacing/>
        <w:rPr>
          <w:rFonts w:ascii="宋体" w:hAnsi="宋体" w:cs="黑体"/>
        </w:rPr>
      </w:pPr>
      <w:r>
        <w:rPr>
          <w:rFonts w:ascii="宋体" w:hAnsi="宋体" w:cs="黑体" w:hint="eastAsia"/>
        </w:rPr>
        <w:t>（四）</w:t>
      </w:r>
      <w:r w:rsidR="00B90D43">
        <w:rPr>
          <w:rFonts w:ascii="宋体" w:hAnsi="宋体" w:cs="黑体" w:hint="eastAsia"/>
        </w:rPr>
        <w:t>投资者保证其有权利签署本协议和履行本协议所述的义务，并已为此采取一切所需的行为。</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rsidR="00B90D43" w:rsidRDefault="00662ADB" w:rsidP="00662ADB">
      <w:pPr>
        <w:widowControl/>
        <w:spacing w:line="360" w:lineRule="auto"/>
        <w:ind w:firstLine="420"/>
        <w:contextualSpacing/>
        <w:rPr>
          <w:rFonts w:ascii="宋体" w:hAnsi="宋体" w:cs="黑体"/>
        </w:rPr>
      </w:pPr>
      <w:r>
        <w:rPr>
          <w:rFonts w:ascii="宋体" w:hAnsi="宋体" w:cs="黑体" w:hint="eastAsia"/>
          <w:b/>
          <w:bCs/>
        </w:rPr>
        <w:t>（六）</w:t>
      </w:r>
      <w:r w:rsidR="00B90D43">
        <w:rPr>
          <w:rFonts w:ascii="宋体" w:hAnsi="宋体" w:cs="黑体" w:hint="eastAsia"/>
          <w:b/>
          <w:bCs/>
        </w:rPr>
        <w:t>投资者在此确认代理销售机构的系统记录以及录音、录像构成对投资者操作行为（包括但不限于购买、赎回、撤单）的有效证据，并且在双方发生争议时可以作为合法有效的证据使用</w:t>
      </w:r>
      <w:r w:rsidR="00B90D43">
        <w:rPr>
          <w:rFonts w:ascii="宋体" w:hAnsi="宋体" w:cs="黑体" w:hint="eastAsia"/>
        </w:rPr>
        <w:t>。</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（七）</w:t>
      </w:r>
      <w:r w:rsidR="00B90D43">
        <w:rPr>
          <w:rFonts w:ascii="宋体" w:hAnsi="宋体" w:cs="黑体" w:hint="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（八）</w:t>
      </w:r>
      <w:r w:rsidR="00B90D43">
        <w:rPr>
          <w:rFonts w:ascii="宋体" w:hAnsi="宋体" w:cs="黑体" w:hint="eastAsia"/>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（九）</w:t>
      </w:r>
      <w:r w:rsidR="00B90D43">
        <w:rPr>
          <w:rFonts w:ascii="宋体" w:hAnsi="宋体" w:cs="黑体" w:hint="eastAsia"/>
        </w:rPr>
        <w:t>本协议终止前，投资者不得将授权指定账户销户。若发生因投资者注销授权指定账户造成理财计划无法正常兑付的，代理销售机构不承担任何责任。</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（十）</w:t>
      </w:r>
      <w:r w:rsidR="00B90D43">
        <w:rPr>
          <w:rFonts w:ascii="宋体" w:hAnsi="宋体" w:cs="黑体" w:hint="eastAsia"/>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（十一）</w:t>
      </w:r>
      <w:r w:rsidR="00B90D43">
        <w:rPr>
          <w:rFonts w:ascii="宋体" w:hAnsi="宋体" w:cs="黑体" w:hint="eastAsia"/>
        </w:rPr>
        <w:t>投资者对本协议及其条款负有保密义务，未经代理销售机构书面许可，不得向任何组织、个人提供或泄露与代理销售机构有关的业务资料及信息，但法律、法规另有规定的除外。</w:t>
      </w:r>
    </w:p>
    <w:p w:rsidR="00B90D43" w:rsidRDefault="000C4480" w:rsidP="000C4480">
      <w:pPr>
        <w:widowControl/>
        <w:spacing w:line="360" w:lineRule="auto"/>
        <w:ind w:left="420"/>
        <w:contextualSpacing/>
        <w:rPr>
          <w:rFonts w:ascii="宋体" w:hAnsi="宋体" w:cs="黑体"/>
        </w:rPr>
      </w:pPr>
      <w:r>
        <w:rPr>
          <w:rFonts w:ascii="宋体" w:hAnsi="宋体" w:cs="黑体" w:hint="eastAsia"/>
        </w:rPr>
        <w:t>（十二）</w:t>
      </w:r>
      <w:r w:rsidR="00B90D43">
        <w:rPr>
          <w:rFonts w:ascii="宋体" w:hAnsi="宋体" w:cs="黑体" w:hint="eastAsia"/>
        </w:rPr>
        <w:t>投资者进行投资时，应严格遵守反洗钱相关法规的规定，切实履行反洗钱及反恐怖融资义务。</w:t>
      </w:r>
    </w:p>
    <w:p w:rsidR="00B90D43" w:rsidRDefault="000C4480" w:rsidP="000C4480">
      <w:pPr>
        <w:widowControl/>
        <w:spacing w:line="360" w:lineRule="auto"/>
        <w:ind w:left="420"/>
        <w:contextualSpacing/>
        <w:rPr>
          <w:rFonts w:ascii="宋体" w:hAnsi="宋体" w:cs="黑体"/>
          <w:b/>
          <w:bCs/>
        </w:rPr>
      </w:pPr>
      <w:r>
        <w:rPr>
          <w:rFonts w:ascii="宋体" w:hAnsi="宋体" w:cs="黑体" w:hint="eastAsia"/>
          <w:b/>
          <w:bCs/>
        </w:rPr>
        <w:t>（十三）</w:t>
      </w:r>
      <w:r w:rsidR="00B90D43">
        <w:rPr>
          <w:rFonts w:ascii="宋体" w:hAnsi="宋体" w:cs="黑体" w:hint="eastAsia"/>
          <w:b/>
          <w:bCs/>
        </w:rPr>
        <w:t>投资者个人信息授权</w:t>
      </w:r>
    </w:p>
    <w:p w:rsidR="00B90D43" w:rsidRDefault="00B90D43">
      <w:pPr>
        <w:widowControl/>
        <w:spacing w:line="360" w:lineRule="auto"/>
        <w:ind w:firstLineChars="200" w:firstLine="422"/>
        <w:contextualSpacing/>
        <w:rPr>
          <w:rFonts w:ascii="宋体" w:hAnsi="宋体" w:cs="黑体"/>
          <w:b/>
          <w:bCs/>
        </w:rPr>
      </w:pPr>
      <w:r>
        <w:rPr>
          <w:rFonts w:ascii="宋体" w:hAnsi="宋体" w:cs="黑体" w:hint="eastAsia"/>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w:t>
      </w:r>
      <w:r>
        <w:rPr>
          <w:rFonts w:ascii="宋体" w:hAnsi="宋体" w:cs="黑体" w:hint="eastAsia"/>
          <w:b/>
          <w:bCs/>
        </w:rPr>
        <w:lastRenderedPageBreak/>
        <w:t>式、财产信息、账户信息、风险偏好与投资目标、其他与业务相关的个人信息以及法律法规规定的其他必要信息。</w:t>
      </w:r>
    </w:p>
    <w:p w:rsidR="00B90D43" w:rsidRDefault="00B90D43">
      <w:pPr>
        <w:widowControl/>
        <w:spacing w:line="360" w:lineRule="auto"/>
        <w:ind w:firstLineChars="200" w:firstLine="422"/>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第三条 </w:t>
      </w:r>
      <w:r w:rsidR="00B90D43">
        <w:rPr>
          <w:rFonts w:ascii="宋体" w:hAnsi="宋体" w:cs="黑体" w:hint="eastAsia"/>
          <w:b/>
          <w:bCs/>
        </w:rPr>
        <w:t>代理销售机构的权利与义务</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（一）</w:t>
      </w:r>
      <w:r w:rsidR="00B90D43">
        <w:rPr>
          <w:rFonts w:ascii="宋体" w:hAnsi="宋体" w:cs="黑体" w:hint="eastAsia"/>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b/>
          <w:bCs/>
        </w:rPr>
        <w:t>（二）</w:t>
      </w:r>
      <w:r w:rsidR="00B90D43">
        <w:rPr>
          <w:rFonts w:ascii="宋体" w:hAnsi="宋体" w:cs="黑体" w:hint="eastAsia"/>
          <w:b/>
          <w:bCs/>
        </w:rPr>
        <w:t>代理销售机构非本计划的发行、管理机构，对本计划的业绩不承担任何保证和其他经济责任，不承担本计划的投资、兑付和风险管理责任</w:t>
      </w:r>
      <w:r w:rsidR="00B90D43">
        <w:rPr>
          <w:rFonts w:ascii="宋体" w:hAnsi="宋体" w:cs="黑体" w:hint="eastAsia"/>
        </w:rPr>
        <w:t>。</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代理销售机构应定期对购买其代理销售的理财计划的非机构投资者进行有效风险承受能力评估，并保证向投资者推介及销售与其风险承受能力匹配的产品。</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（四）</w:t>
      </w:r>
      <w:r w:rsidR="00B90D43">
        <w:rPr>
          <w:rFonts w:ascii="宋体" w:hAnsi="宋体" w:cs="黑体" w:hint="eastAsia"/>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（六）</w:t>
      </w:r>
      <w:r w:rsidR="00B90D43">
        <w:rPr>
          <w:rFonts w:ascii="宋体" w:hAnsi="宋体" w:cs="黑体" w:hint="eastAsia"/>
        </w:rPr>
        <w:t>代理销售机构应建立健全上岗资格、持续培训、信息公示与查询核实等制度并有效执行。未经代理销售机构进行上岗资格认定并签订劳动合同，任何人员不得从事理财计划销售业务活动。</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（七）</w:t>
      </w:r>
      <w:r w:rsidR="00B90D43">
        <w:rPr>
          <w:rFonts w:ascii="宋体" w:hAnsi="宋体" w:cs="黑体" w:hint="eastAsia"/>
        </w:rPr>
        <w:t>代理销售机构应对所有销售人员信息进行登记和公示。销售人员在向投资者宣传销售理财计划前进行自我介绍并告知信息查询和核实渠道，便于投资者查询核实，防止伪冒身份和虚假宣传。</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（八）</w:t>
      </w:r>
      <w:r w:rsidR="00B90D43">
        <w:rPr>
          <w:rFonts w:ascii="宋体" w:hAnsi="宋体" w:cs="黑体" w:hint="eastAsia"/>
        </w:rPr>
        <w:t>代理销售机构对投资者负有信息保密义务，未经投资者书面许可，乙方不得向任何组织、个人提供或泄露与甲方有关的业务资料及信息，但法律、法规另有规定的除外。</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（九）</w:t>
      </w:r>
      <w:r w:rsidR="00B90D43">
        <w:rPr>
          <w:rFonts w:ascii="宋体" w:hAnsi="宋体" w:cs="黑体" w:hint="eastAsia"/>
        </w:rPr>
        <w:t>代理销售机构应按照法律法规、监管规定、理财计划合同的约定收取销售费用，并如实核算、记账。未经载明，不得对不同投资者适用不同费率。</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（十）</w:t>
      </w:r>
      <w:r w:rsidR="00B90D43">
        <w:rPr>
          <w:rFonts w:ascii="宋体" w:hAnsi="宋体" w:cs="黑体" w:hint="eastAsia"/>
        </w:rPr>
        <w:t>理财计划销售结算资金属于理财计划投资者，代理销售机构不得挪用理财计划销售结算资金或将理财计划销售结算资金归入自有资产。</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（十一）</w:t>
      </w:r>
      <w:r w:rsidR="00B90D43">
        <w:rPr>
          <w:rFonts w:ascii="宋体" w:hAnsi="宋体" w:cs="黑体" w:hint="eastAsia"/>
        </w:rPr>
        <w:t>代理销售机构应遵守相关法律、法规、监管规定及理财计划合同约定，诚实守信、勤勉尽责，向购买理财计划的投资者充分传递管理人披露的产品相关信息并进行充分的风险揭示。</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lastRenderedPageBreak/>
        <w:t>（十二）</w:t>
      </w:r>
      <w:r w:rsidR="00B90D43">
        <w:rPr>
          <w:rFonts w:ascii="宋体" w:hAnsi="宋体" w:cs="黑体" w:hint="eastAsia"/>
        </w:rPr>
        <w:t>代理销售机构应当充分利用科技手段，加强对伪冒网站、伪冒产品等监测，有效防范各类欺诈风险。</w:t>
      </w:r>
    </w:p>
    <w:p w:rsidR="00B90D43" w:rsidRDefault="00B90D43">
      <w:pPr>
        <w:widowControl/>
        <w:autoSpaceDE w:val="0"/>
        <w:spacing w:line="360" w:lineRule="auto"/>
        <w:ind w:left="482"/>
        <w:contextualSpacing/>
        <w:jc w:val="left"/>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第四条 </w:t>
      </w:r>
      <w:r w:rsidR="00B90D43">
        <w:rPr>
          <w:rFonts w:ascii="宋体" w:hAnsi="宋体" w:cs="黑体" w:hint="eastAsia"/>
          <w:b/>
          <w:bCs/>
        </w:rPr>
        <w:t>理财计划认（申）购、赎回及终止</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（一）</w:t>
      </w:r>
      <w:r w:rsidR="00B90D43">
        <w:rPr>
          <w:rFonts w:ascii="宋体" w:hAnsi="宋体" w:cs="黑体" w:hint="eastAsia"/>
        </w:rPr>
        <w:t xml:space="preserve">理财计划认/申购办理流程：参照投资者权益须知约定。 </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（二）</w:t>
      </w:r>
      <w:r w:rsidR="00B90D43">
        <w:rPr>
          <w:rFonts w:ascii="宋体" w:hAnsi="宋体" w:cs="黑体" w:hint="eastAsia"/>
        </w:rPr>
        <w:t>理财计划认/申购确认：管理人根据代理销售渠道提供的交易信息及资金划付对投资者相应认/申购进行确认。</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 xml:space="preserve">理财计划投资品种、投资起点金额、收益支付方式：参照对应期次的理财计划产品说明书中的条款约定。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（六）</w:t>
      </w:r>
      <w:r w:rsidR="00B90D43">
        <w:rPr>
          <w:rFonts w:ascii="宋体" w:hAnsi="宋体" w:cs="黑体" w:hint="eastAsia"/>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rsidR="00B90D43" w:rsidRDefault="00B90D43">
      <w:pPr>
        <w:widowControl/>
        <w:autoSpaceDE w:val="0"/>
        <w:spacing w:line="360" w:lineRule="auto"/>
        <w:ind w:leftChars="85" w:left="178"/>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第五条 </w:t>
      </w:r>
      <w:r w:rsidR="00B90D43">
        <w:rPr>
          <w:rFonts w:ascii="宋体" w:hAnsi="宋体" w:cs="黑体" w:hint="eastAsia"/>
          <w:b/>
          <w:bCs/>
        </w:rPr>
        <w:t>违约责任及免责条款</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lastRenderedPageBreak/>
        <w:t>（二）</w:t>
      </w:r>
      <w:r w:rsidR="00B90D43">
        <w:rPr>
          <w:rFonts w:ascii="宋体" w:hAnsi="宋体" w:cs="黑体" w:hint="eastAsia"/>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若由于代理销售机构过错导致理财计划资产发生损失，代理销售机构应按其过错承担赔偿责任，代理销售机构赔偿的款项计入理财计划的资产和收益。</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因国家有关法律、法规、规章、政策的修改或新的法律、法规、规章、政策颁布以及紧急措施的出台导致的风险及损失，代理销售机构不承担责任。</w:t>
      </w:r>
    </w:p>
    <w:p w:rsidR="00B90D43" w:rsidRDefault="00B90D43">
      <w:pPr>
        <w:widowControl/>
        <w:autoSpaceDE w:val="0"/>
        <w:spacing w:line="360" w:lineRule="auto"/>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第六条 </w:t>
      </w:r>
      <w:r w:rsidR="00B90D43">
        <w:rPr>
          <w:rFonts w:ascii="宋体" w:hAnsi="宋体" w:cs="黑体" w:hint="eastAsia"/>
          <w:b/>
          <w:bCs/>
        </w:rPr>
        <w:t>适用法律与争议解决</w:t>
      </w:r>
    </w:p>
    <w:p w:rsidR="00B90D43" w:rsidRDefault="00B90D43">
      <w:pPr>
        <w:widowControl/>
        <w:autoSpaceDE w:val="0"/>
        <w:spacing w:line="360" w:lineRule="auto"/>
        <w:ind w:firstLineChars="200" w:firstLine="420"/>
        <w:contextualSpacing/>
        <w:rPr>
          <w:rFonts w:ascii="宋体" w:hAnsi="宋体" w:cs="黑体"/>
        </w:rPr>
      </w:pPr>
      <w:r>
        <w:rPr>
          <w:rFonts w:ascii="宋体" w:hAnsi="宋体" w:cs="黑体" w:hint="eastAsia"/>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rsidR="00B90D43" w:rsidRDefault="00B90D43">
      <w:pPr>
        <w:widowControl/>
        <w:autoSpaceDE w:val="0"/>
        <w:spacing w:line="360" w:lineRule="auto"/>
        <w:ind w:firstLineChars="200" w:firstLine="422"/>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第七条 </w:t>
      </w:r>
      <w:r w:rsidR="00B90D43">
        <w:rPr>
          <w:rFonts w:ascii="宋体" w:hAnsi="宋体" w:cs="黑体" w:hint="eastAsia"/>
          <w:b/>
          <w:bCs/>
        </w:rPr>
        <w:t>协议生效和终止</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（一）</w:t>
      </w:r>
      <w:r w:rsidR="00B90D43">
        <w:rPr>
          <w:rFonts w:ascii="宋体" w:hAnsi="宋体" w:cs="黑体" w:hint="eastAsia"/>
        </w:rPr>
        <w:t xml:space="preserve">投资者和代理销售机构双方认可本协议可以纸质或电子数据等形式提交、订立或确认。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 xml:space="preserve">本协议书以纸质书面形式订立的，自投资者签字和代理销售机构签章之后立即生效。协议一式叁份，投资者、管理人和代理销售机构各执壹份，具有同等法律效力。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投资者和代理销售机构双方在本协议及对应期次的理财计划产品说明书项下权利义务履行完毕之日，本协议自动终止。</w:t>
      </w:r>
    </w:p>
    <w:p w:rsidR="00B90D43" w:rsidRDefault="00B90D43">
      <w:pPr>
        <w:widowControl/>
        <w:autoSpaceDE w:val="0"/>
        <w:spacing w:line="360" w:lineRule="auto"/>
        <w:ind w:left="420"/>
        <w:contextualSpacing/>
        <w:rPr>
          <w:rFonts w:ascii="宋体" w:hAnsi="宋体" w:cs="黑体"/>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lastRenderedPageBreak/>
        <w:t xml:space="preserve">第八条 </w:t>
      </w:r>
      <w:r w:rsidR="00B90D43">
        <w:rPr>
          <w:rFonts w:ascii="宋体" w:hAnsi="宋体" w:cs="黑体" w:hint="eastAsia"/>
          <w:b/>
          <w:bCs/>
        </w:rPr>
        <w:t xml:space="preserve">附则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如果由于任何原因使本合同下的任何条款或内容成为无效或被依法撤销，本合同其他条款或内容的合法性、有效性和可执行性不受影响。</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在理财计划存续期内，如因监管政策或法律法规发生变化，在不损害投资者利益的前提下，管理人有权单方对理财计划合同销售文件进行修订。</w:t>
      </w:r>
    </w:p>
    <w:p w:rsidR="00B90D43" w:rsidRDefault="00B90D43">
      <w:pPr>
        <w:widowControl/>
        <w:autoSpaceDE w:val="0"/>
        <w:spacing w:line="360" w:lineRule="auto"/>
        <w:contextualSpacing/>
        <w:rPr>
          <w:rFonts w:ascii="宋体" w:hAnsi="宋体" w:cs="黑体"/>
        </w:rPr>
      </w:pPr>
    </w:p>
    <w:p w:rsidR="00B90D43" w:rsidRDefault="00B90D43">
      <w:pPr>
        <w:autoSpaceDE w:val="0"/>
        <w:spacing w:line="360" w:lineRule="auto"/>
        <w:rPr>
          <w:rFonts w:ascii="宋体" w:hAnsi="宋体"/>
        </w:rPr>
      </w:pPr>
    </w:p>
    <w:p w:rsidR="00B90D43" w:rsidRDefault="00B90D43">
      <w:pPr>
        <w:autoSpaceDE w:val="0"/>
        <w:spacing w:line="360" w:lineRule="auto"/>
        <w:rPr>
          <w:rFonts w:ascii="宋体" w:hAnsi="宋体"/>
        </w:rPr>
      </w:pPr>
    </w:p>
    <w:p w:rsidR="00B90D43" w:rsidRDefault="00B90D43">
      <w:pPr>
        <w:widowControl/>
        <w:spacing w:line="360" w:lineRule="auto"/>
        <w:jc w:val="right"/>
        <w:rPr>
          <w:rFonts w:ascii="宋体" w:hAnsi="宋体"/>
          <w:color w:val="000000"/>
          <w:kern w:val="0"/>
        </w:rPr>
      </w:pPr>
      <w:r>
        <w:rPr>
          <w:rFonts w:ascii="宋体" w:hAnsi="宋体" w:hint="eastAsia"/>
          <w:kern w:val="0"/>
        </w:rPr>
        <w:t>杭银理财有限责任公司</w:t>
      </w:r>
    </w:p>
    <w:p w:rsidR="00B90D43" w:rsidRDefault="00B90D43">
      <w:pPr>
        <w:spacing w:line="360" w:lineRule="auto"/>
        <w:rPr>
          <w:rFonts w:ascii="宋体" w:hAnsi="宋体" w:cs="黑体"/>
        </w:rPr>
      </w:pPr>
      <w:r>
        <w:rPr>
          <w:rFonts w:ascii="宋体" w:hAnsi="宋体" w:hint="eastAsia"/>
          <w:color w:val="000000"/>
          <w:kern w:val="0"/>
          <w:szCs w:val="21"/>
        </w:rPr>
        <w:br w:type="page"/>
      </w:r>
      <w:r>
        <w:rPr>
          <w:rFonts w:ascii="宋体" w:hAnsi="宋体" w:cs="黑体" w:hint="eastAsia"/>
          <w:szCs w:val="21"/>
        </w:rPr>
        <w:lastRenderedPageBreak/>
        <w:t>本页为纸质形式（如有）销售协议书签章页</w:t>
      </w: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rPr>
          <w:rFonts w:ascii="宋体" w:hAnsi="宋体" w:cs="黑体"/>
          <w:b/>
          <w:bCs/>
        </w:rPr>
      </w:pPr>
      <w:r>
        <w:rPr>
          <w:rFonts w:ascii="宋体" w:hAnsi="宋体" w:cs="黑体" w:hint="eastAsia"/>
          <w:b/>
          <w:bCs/>
          <w:szCs w:val="21"/>
        </w:rPr>
        <w:t>投资者（签字）：</w:t>
      </w:r>
    </w:p>
    <w:p w:rsidR="00B90D43" w:rsidRDefault="00B90D43">
      <w:pPr>
        <w:spacing w:beforeLines="50" w:before="156" w:afterLines="50" w:after="156" w:line="360" w:lineRule="auto"/>
        <w:ind w:firstLineChars="2000" w:firstLine="4200"/>
        <w:jc w:val="right"/>
        <w:rPr>
          <w:rFonts w:ascii="Arial" w:hAnsi="Arial"/>
        </w:rPr>
      </w:pPr>
      <w:r>
        <w:rPr>
          <w:rFonts w:ascii="Arial" w:hAnsi="Arial" w:hint="eastAsia"/>
          <w:szCs w:val="21"/>
        </w:rPr>
        <w:t xml:space="preserve">   </w:t>
      </w:r>
      <w:r>
        <w:rPr>
          <w:rFonts w:ascii="Arial" w:hAnsi="Arial" w:hint="eastAsia"/>
          <w:szCs w:val="21"/>
        </w:rPr>
        <w:t>年</w:t>
      </w:r>
      <w:r>
        <w:rPr>
          <w:rFonts w:ascii="Arial" w:hAnsi="Arial" w:hint="eastAsia"/>
          <w:szCs w:val="21"/>
        </w:rPr>
        <w:t xml:space="preserve">   </w:t>
      </w:r>
      <w:r>
        <w:rPr>
          <w:rFonts w:ascii="Arial" w:hAnsi="Arial" w:hint="eastAsia"/>
          <w:szCs w:val="21"/>
        </w:rPr>
        <w:t>月</w:t>
      </w:r>
      <w:r>
        <w:rPr>
          <w:rFonts w:ascii="Arial" w:hAnsi="Arial" w:hint="eastAsia"/>
          <w:szCs w:val="21"/>
        </w:rPr>
        <w:t xml:space="preserve">   </w:t>
      </w:r>
      <w:r>
        <w:rPr>
          <w:rFonts w:ascii="Arial" w:hAnsi="Arial" w:hint="eastAsia"/>
          <w:szCs w:val="21"/>
        </w:rPr>
        <w:t>日</w:t>
      </w: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r>
        <w:rPr>
          <w:rFonts w:ascii="宋体" w:hAnsi="宋体" w:cs="黑体" w:hint="eastAsia"/>
          <w:b/>
          <w:bCs/>
          <w:szCs w:val="21"/>
        </w:rPr>
        <w:t>代理销售机构签章：</w:t>
      </w: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beforeLines="50" w:before="156" w:afterLines="50" w:after="156" w:line="360" w:lineRule="auto"/>
        <w:ind w:firstLineChars="2000" w:firstLine="4200"/>
        <w:jc w:val="right"/>
        <w:rPr>
          <w:rFonts w:ascii="Arial" w:hAnsi="Arial"/>
        </w:rPr>
      </w:pPr>
      <w:r>
        <w:rPr>
          <w:rFonts w:ascii="Arial" w:hAnsi="Arial" w:hint="eastAsia"/>
          <w:szCs w:val="21"/>
        </w:rPr>
        <w:t xml:space="preserve">   </w:t>
      </w:r>
      <w:r>
        <w:rPr>
          <w:rFonts w:ascii="Arial" w:hAnsi="Arial" w:hint="eastAsia"/>
          <w:szCs w:val="21"/>
        </w:rPr>
        <w:t>年</w:t>
      </w:r>
      <w:r>
        <w:rPr>
          <w:rFonts w:ascii="Arial" w:hAnsi="Arial" w:hint="eastAsia"/>
          <w:szCs w:val="21"/>
        </w:rPr>
        <w:t xml:space="preserve">   </w:t>
      </w:r>
      <w:r>
        <w:rPr>
          <w:rFonts w:ascii="Arial" w:hAnsi="Arial" w:hint="eastAsia"/>
          <w:szCs w:val="21"/>
        </w:rPr>
        <w:t>月</w:t>
      </w:r>
      <w:r>
        <w:rPr>
          <w:rFonts w:ascii="Arial" w:hAnsi="Arial" w:hint="eastAsia"/>
          <w:szCs w:val="21"/>
        </w:rPr>
        <w:t xml:space="preserve">   </w:t>
      </w:r>
      <w:r>
        <w:rPr>
          <w:rFonts w:ascii="Arial" w:hAnsi="Arial" w:hint="eastAsia"/>
          <w:szCs w:val="21"/>
        </w:rPr>
        <w:t>日</w:t>
      </w:r>
    </w:p>
    <w:p w:rsidR="00B90D43" w:rsidRDefault="00B90D43">
      <w:pPr>
        <w:spacing w:line="360" w:lineRule="auto"/>
        <w:rPr>
          <w:rFonts w:ascii="宋体" w:hAnsi="宋体" w:cs="黑体"/>
          <w:b/>
          <w:bCs/>
          <w:sz w:val="28"/>
          <w:szCs w:val="28"/>
        </w:rPr>
      </w:pPr>
    </w:p>
    <w:p w:rsidR="00B90D43" w:rsidRDefault="00B90D43">
      <w:pPr>
        <w:pStyle w:val="a8"/>
        <w:widowControl/>
        <w:spacing w:line="360" w:lineRule="auto"/>
        <w:jc w:val="left"/>
        <w:rPr>
          <w:rFonts w:ascii="宋体" w:hAnsi="宋体"/>
          <w:color w:val="000000"/>
          <w:kern w:val="0"/>
          <w:sz w:val="21"/>
          <w:szCs w:val="21"/>
        </w:rPr>
      </w:pPr>
    </w:p>
    <w:p w:rsidR="00B90D43" w:rsidRDefault="00B90D43"/>
    <w:p w:rsidR="00B90D43" w:rsidRDefault="00B90D43">
      <w:pPr>
        <w:spacing w:line="520" w:lineRule="exact"/>
        <w:ind w:firstLineChars="202" w:firstLine="424"/>
        <w:rPr>
          <w:rFonts w:ascii="宋体" w:hAnsi="Wingdings" w:cs="宋体" w:hint="eastAsia"/>
          <w:color w:val="000000"/>
          <w:kern w:val="0"/>
        </w:rPr>
      </w:pPr>
    </w:p>
    <w:p w:rsidR="00B90D43" w:rsidRDefault="00B90D43">
      <w:pPr>
        <w:spacing w:line="520" w:lineRule="exact"/>
        <w:ind w:firstLineChars="202" w:firstLine="424"/>
        <w:rPr>
          <w:rFonts w:ascii="宋体" w:hAnsi="Wingdings" w:cs="宋体" w:hint="eastAsia"/>
          <w:color w:val="000000"/>
          <w:kern w:val="0"/>
        </w:rPr>
      </w:pPr>
    </w:p>
    <w:p w:rsidR="00B90D43" w:rsidRDefault="00B90D43">
      <w:pPr>
        <w:pStyle w:val="a8"/>
        <w:widowControl/>
        <w:spacing w:line="360" w:lineRule="auto"/>
        <w:jc w:val="left"/>
        <w:rPr>
          <w:rFonts w:ascii="宋体" w:hAnsi="Wingdings" w:hint="eastAsia"/>
          <w:color w:val="000000"/>
          <w:kern w:val="0"/>
          <w:sz w:val="21"/>
          <w:szCs w:val="21"/>
        </w:rPr>
      </w:pPr>
    </w:p>
    <w:p w:rsidR="00B90D43" w:rsidRDefault="00B90D43">
      <w:pPr>
        <w:rPr>
          <w:rFonts w:hint="eastAsia"/>
        </w:rPr>
      </w:pPr>
      <w:r>
        <w:t xml:space="preserve"> </w:t>
      </w:r>
    </w:p>
    <w:p w:rsidR="00B90D43" w:rsidRDefault="00B90D43">
      <w:pPr>
        <w:spacing w:line="520" w:lineRule="exact"/>
        <w:ind w:firstLineChars="202" w:firstLine="424"/>
        <w:rPr>
          <w:rFonts w:ascii="宋体" w:hAnsi="Wingdings" w:cs="宋体" w:hint="eastAsia"/>
          <w:color w:val="000000"/>
          <w:kern w:val="0"/>
        </w:rPr>
      </w:pPr>
    </w:p>
    <w:p w:rsidR="00B90D43" w:rsidRDefault="00B90D43">
      <w:pPr>
        <w:spacing w:line="300" w:lineRule="auto"/>
        <w:rPr>
          <w:rFonts w:ascii="宋体" w:hAnsi="Wingdings" w:cs="宋体" w:hint="eastAsia"/>
          <w:color w:val="000000"/>
          <w:kern w:val="0"/>
        </w:rPr>
      </w:pPr>
    </w:p>
    <w:p w:rsidR="00B90D43" w:rsidRDefault="00B90D43"/>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enter" w:pos="4153"/>
        <w:tab w:val="right" w:pos="8306"/>
      </w:tabs>
      <w:jc w:val="center"/>
    </w:pPr>
    <w:r>
      <w:fldChar w:fldCharType="begin"/>
    </w:r>
    <w:r>
      <w:instrText xml:space="preserve"> PAGE   \* MERGEFORMAT </w:instrText>
    </w:r>
    <w:r>
      <w:fldChar w:fldCharType="separate"/>
    </w:r>
    <w:r>
      <w:rPr>
        <w:lang w:val="zh-CN"/>
      </w:rPr>
      <w:t>16</w:t>
    </w:r>
    <w:r>
      <w:fldChar w:fldCharType="end"/>
    </w:r>
  </w:p>
  <w:p>
    <w:pPr>
      <w:pStyle w:val="Footer"/>
      <w:tabs>
        <w:tab w:val="center" w:pos="4153"/>
        <w:tab w:val="right" w:pos="8306"/>
      </w:tabs>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E8E"/>
    <w:multiLevelType w:val="singleLevel"/>
    <w:tmpl w:val="02603E8E"/>
    <w:lvl w:ilvl="0">
      <w:start w:val="1"/>
      <w:numFmt w:val="decimal"/>
      <w:suff w:val="nothing"/>
      <w:lvlText w:val="%1．"/>
      <w:lvlJc w:val="left"/>
      <w:pPr>
        <w:ind w:left="0" w:firstLine="400"/>
      </w:pPr>
      <w:rPr>
        <w:rFonts w:hint="default"/>
      </w:rPr>
    </w:lvl>
  </w:abstractNum>
  <w:abstractNum w:abstractNumId="1">
    <w:nsid w:val="0AB15DED"/>
    <w:multiLevelType w:val="singleLevel"/>
    <w:tmpl w:val="0AB15DED"/>
    <w:lvl w:ilvl="0">
      <w:start w:val="1"/>
      <w:numFmt w:val="decimal"/>
      <w:suff w:val="nothing"/>
      <w:lvlText w:val="%1．"/>
      <w:lvlJc w:val="left"/>
      <w:pPr>
        <w:ind w:left="0" w:firstLine="400"/>
      </w:pPr>
      <w:rPr>
        <w:rFonts w:hint="default"/>
      </w:rPr>
    </w:lvl>
  </w:abstractNum>
  <w:abstractNum w:abstractNumId="2">
    <w:nsid w:val="0DA0B988"/>
    <w:multiLevelType w:val="singleLevel"/>
    <w:tmpl w:val="0DA0B988"/>
    <w:lvl w:ilvl="0">
      <w:start w:val="3"/>
      <w:numFmt w:val="chineseCounting"/>
      <w:suff w:val="nothing"/>
      <w:lvlText w:val="（%1）"/>
      <w:lvlJc w:val="left"/>
      <w:pPr>
        <w:tabs>
          <w:tab w:val="num" w:pos="0"/>
        </w:tabs>
      </w:pPr>
      <w:rPr>
        <w:rFonts w:hint="eastAsia"/>
      </w:rPr>
    </w:lvl>
  </w:abstractNum>
  <w:abstractNum w:abstractNumId="3">
    <w:nsid w:val="1BCD3219"/>
    <w:multiLevelType w:val="multilevel"/>
    <w:tmpl w:val="1BCD3219"/>
    <w:lvl w:ilvl="0">
      <w:start w:val="1"/>
      <w:numFmt w:val="chineseCountingThousand"/>
      <w:suff w:val="nothing"/>
      <w:lvlText w:val="(%1)"/>
      <w:lvlJc w:val="left"/>
      <w:pPr>
        <w:ind w:left="420" w:hanging="420"/>
      </w:pPr>
      <w:rPr>
        <w:rFonts w:hint="eastAsia"/>
        <w:b w:val="0"/>
        <w:bCs w:val="0"/>
      </w:rPr>
    </w:lvl>
    <w:lvl w:ilvl="1">
      <w:start w:val="1"/>
      <w:numFmt w:val="lowerLetter"/>
      <w:lvlText w:val="%2)"/>
      <w:lvlJc w:val="left"/>
      <w:pPr>
        <w:ind w:left="1970" w:hanging="420"/>
      </w:pPr>
    </w:lvl>
    <w:lvl w:ilvl="2">
      <w:start w:val="1"/>
      <w:numFmt w:val="lowerRoman"/>
      <w:lvlText w:val="%3."/>
      <w:lvlJc w:val="right"/>
      <w:pPr>
        <w:ind w:left="2390" w:hanging="420"/>
      </w:pPr>
    </w:lvl>
    <w:lvl w:ilvl="3">
      <w:start w:val="1"/>
      <w:numFmt w:val="decimal"/>
      <w:lvlText w:val="%4."/>
      <w:lvlJc w:val="left"/>
      <w:pPr>
        <w:ind w:left="2810" w:hanging="420"/>
      </w:pPr>
    </w:lvl>
    <w:lvl w:ilvl="4">
      <w:start w:val="1"/>
      <w:numFmt w:val="lowerLetter"/>
      <w:lvlText w:val="%5)"/>
      <w:lvlJc w:val="left"/>
      <w:pPr>
        <w:ind w:left="3230" w:hanging="420"/>
      </w:pPr>
    </w:lvl>
    <w:lvl w:ilvl="5">
      <w:start w:val="1"/>
      <w:numFmt w:val="lowerRoman"/>
      <w:lvlText w:val="%6."/>
      <w:lvlJc w:val="right"/>
      <w:pPr>
        <w:ind w:left="3650" w:hanging="420"/>
      </w:pPr>
    </w:lvl>
    <w:lvl w:ilvl="6">
      <w:start w:val="1"/>
      <w:numFmt w:val="decimal"/>
      <w:lvlText w:val="%7."/>
      <w:lvlJc w:val="left"/>
      <w:pPr>
        <w:ind w:left="4070" w:hanging="420"/>
      </w:pPr>
    </w:lvl>
    <w:lvl w:ilvl="7">
      <w:start w:val="1"/>
      <w:numFmt w:val="lowerLetter"/>
      <w:lvlText w:val="%8)"/>
      <w:lvlJc w:val="left"/>
      <w:pPr>
        <w:ind w:left="4490" w:hanging="420"/>
      </w:pPr>
    </w:lvl>
    <w:lvl w:ilvl="8">
      <w:start w:val="1"/>
      <w:numFmt w:val="lowerRoman"/>
      <w:lvlText w:val="%9."/>
      <w:lvlJc w:val="right"/>
      <w:pPr>
        <w:ind w:left="4910" w:hanging="420"/>
      </w:pPr>
    </w:lvl>
  </w:abstractNum>
  <w:abstractNum w:abstractNumId="4">
    <w:nsid w:val="40D15568"/>
    <w:multiLevelType w:val="multilevel"/>
    <w:tmpl w:val="40D15568"/>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404F3FF"/>
    <w:multiLevelType w:val="singleLevel"/>
    <w:tmpl w:val="5404F3FF"/>
    <w:lvl w:ilvl="0">
      <w:start w:val="1"/>
      <w:numFmt w:val="chineseCounting"/>
      <w:suff w:val="nothing"/>
      <w:lvlText w:val="（%1）"/>
      <w:lvlJc w:val="left"/>
      <w:rPr>
        <w:rFonts w:hint="eastAsia"/>
      </w:rPr>
    </w:lvl>
  </w:abstractNum>
  <w:abstractNum w:abstractNumId="6">
    <w:nsid w:val="59D74ADA"/>
    <w:multiLevelType w:val="singleLevel"/>
    <w:tmpl w:val="59D74ADA"/>
    <w:lvl w:ilvl="0">
      <w:start w:val="1"/>
      <w:numFmt w:val="decimal"/>
      <w:suff w:val="nothing"/>
      <w:lvlText w:val="%1．"/>
      <w:lvlJc w:val="left"/>
      <w:pPr>
        <w:ind w:left="0" w:firstLine="400"/>
      </w:pPr>
      <w:rPr>
        <w:rFonts w:hint="default"/>
      </w:rPr>
    </w:lvl>
  </w:abstractNum>
  <w:abstractNum w:abstractNumId="7">
    <w:nsid w:val="5C822679"/>
    <w:multiLevelType w:val="singleLevel"/>
    <w:tmpl w:val="5C822679"/>
    <w:lvl w:ilvl="0">
      <w:start w:val="1"/>
      <w:numFmt w:val="chineseCounting"/>
      <w:suff w:val="nothing"/>
      <w:lvlText w:val="（%1）"/>
      <w:lvlJc w:val="left"/>
      <w:pPr>
        <w:ind w:left="0" w:firstLine="420"/>
      </w:pPr>
      <w:rPr>
        <w:rFonts w:hint="eastAsia"/>
      </w:rPr>
    </w:lvl>
  </w:abstractNum>
  <w:abstractNum w:abstractNumId="8">
    <w:nsid w:val="5C822695"/>
    <w:multiLevelType w:val="singleLevel"/>
    <w:tmpl w:val="5C822695"/>
    <w:lvl w:ilvl="0">
      <w:start w:val="2"/>
      <w:numFmt w:val="chineseCounting"/>
      <w:suff w:val="nothing"/>
      <w:lvlText w:val="（%1）"/>
      <w:lvlJc w:val="left"/>
      <w:pPr>
        <w:ind w:left="0" w:firstLine="420"/>
      </w:pPr>
      <w:rPr>
        <w:rFonts w:hint="eastAsia"/>
      </w:rPr>
    </w:lvl>
  </w:abstractNum>
  <w:abstractNum w:abstractNumId="9">
    <w:nsid w:val="5C8226ED"/>
    <w:multiLevelType w:val="singleLevel"/>
    <w:tmpl w:val="5C8226ED"/>
    <w:lvl w:ilvl="0">
      <w:start w:val="1"/>
      <w:numFmt w:val="decimal"/>
      <w:suff w:val="nothing"/>
      <w:lvlText w:val="%1．"/>
      <w:lvlJc w:val="left"/>
      <w:pPr>
        <w:ind w:left="0" w:firstLine="400"/>
      </w:pPr>
      <w:rPr>
        <w:rFonts w:hint="default"/>
      </w:rPr>
    </w:lvl>
  </w:abstractNum>
  <w:abstractNum w:abstractNumId="10">
    <w:nsid w:val="5C82273C"/>
    <w:multiLevelType w:val="singleLevel"/>
    <w:tmpl w:val="5C82273C"/>
    <w:lvl w:ilvl="0">
      <w:start w:val="1"/>
      <w:numFmt w:val="chineseCounting"/>
      <w:suff w:val="nothing"/>
      <w:lvlText w:val="（%1）"/>
      <w:lvlJc w:val="left"/>
      <w:pPr>
        <w:ind w:left="0" w:firstLine="420"/>
      </w:pPr>
      <w:rPr>
        <w:rFonts w:hint="eastAsia"/>
      </w:rPr>
    </w:lvl>
  </w:abstractNum>
  <w:abstractNum w:abstractNumId="11">
    <w:nsid w:val="5C8227DC"/>
    <w:multiLevelType w:val="singleLevel"/>
    <w:tmpl w:val="5C8227DC"/>
    <w:lvl w:ilvl="0">
      <w:start w:val="6"/>
      <w:numFmt w:val="chineseCounting"/>
      <w:suff w:val="nothing"/>
      <w:lvlText w:val="（%1）"/>
      <w:lvlJc w:val="left"/>
      <w:pPr>
        <w:ind w:left="0" w:firstLine="420"/>
      </w:pPr>
      <w:rPr>
        <w:rFonts w:hint="eastAsia"/>
      </w:rPr>
    </w:lvl>
  </w:abstractNum>
  <w:abstractNum w:abstractNumId="12">
    <w:nsid w:val="5C8227EC"/>
    <w:multiLevelType w:val="singleLevel"/>
    <w:tmpl w:val="5C8227EC"/>
    <w:lvl w:ilvl="0">
      <w:start w:val="5"/>
      <w:numFmt w:val="chineseCounting"/>
      <w:suff w:val="nothing"/>
      <w:lvlText w:val="（%1）"/>
      <w:lvlJc w:val="left"/>
      <w:pPr>
        <w:ind w:left="0" w:firstLine="420"/>
      </w:pPr>
      <w:rPr>
        <w:rFonts w:hint="eastAsia"/>
      </w:rPr>
    </w:lvl>
  </w:abstractNum>
  <w:abstractNum w:abstractNumId="13">
    <w:nsid w:val="5C822838"/>
    <w:multiLevelType w:val="singleLevel"/>
    <w:tmpl w:val="5C822838"/>
    <w:lvl w:ilvl="0">
      <w:start w:val="1"/>
      <w:numFmt w:val="chineseCounting"/>
      <w:suff w:val="nothing"/>
      <w:lvlText w:val="（%1）"/>
      <w:lvlJc w:val="left"/>
      <w:pPr>
        <w:ind w:left="0" w:firstLine="420"/>
      </w:pPr>
      <w:rPr>
        <w:rFonts w:hint="eastAsia"/>
      </w:rPr>
    </w:lvl>
  </w:abstractNum>
  <w:abstractNum w:abstractNumId="14">
    <w:nsid w:val="5C82284E"/>
    <w:multiLevelType w:val="singleLevel"/>
    <w:tmpl w:val="5C82284E"/>
    <w:lvl w:ilvl="0">
      <w:start w:val="1"/>
      <w:numFmt w:val="decimal"/>
      <w:suff w:val="nothing"/>
      <w:lvlText w:val="（%1）"/>
      <w:lvlJc w:val="left"/>
    </w:lvl>
  </w:abstractNum>
  <w:abstractNum w:abstractNumId="15">
    <w:nsid w:val="5C822869"/>
    <w:multiLevelType w:val="singleLevel"/>
    <w:tmpl w:val="5C822869"/>
    <w:lvl w:ilvl="0">
      <w:start w:val="1"/>
      <w:numFmt w:val="decimal"/>
      <w:suff w:val="nothing"/>
      <w:lvlText w:val="%1．"/>
      <w:lvlJc w:val="left"/>
      <w:pPr>
        <w:ind w:left="0" w:firstLine="400"/>
      </w:pPr>
      <w:rPr>
        <w:rFonts w:hint="default"/>
      </w:rPr>
    </w:lvl>
  </w:abstractNum>
  <w:abstractNum w:abstractNumId="16">
    <w:nsid w:val="5C8228EA"/>
    <w:multiLevelType w:val="singleLevel"/>
    <w:tmpl w:val="5C8228EA"/>
    <w:lvl w:ilvl="0">
      <w:start w:val="1"/>
      <w:numFmt w:val="chineseCounting"/>
      <w:suff w:val="nothing"/>
      <w:lvlText w:val="（%1）"/>
      <w:lvlJc w:val="left"/>
      <w:pPr>
        <w:ind w:left="0" w:firstLine="420"/>
      </w:pPr>
      <w:rPr>
        <w:rFonts w:hint="eastAsia"/>
      </w:rPr>
    </w:lvl>
  </w:abstractNum>
  <w:abstractNum w:abstractNumId="17">
    <w:nsid w:val="5C822980"/>
    <w:multiLevelType w:val="singleLevel"/>
    <w:tmpl w:val="5C822980"/>
    <w:lvl w:ilvl="0">
      <w:start w:val="1"/>
      <w:numFmt w:val="decimal"/>
      <w:suff w:val="nothing"/>
      <w:lvlText w:val="%1．"/>
      <w:lvlJc w:val="left"/>
      <w:pPr>
        <w:ind w:left="0" w:firstLine="400"/>
      </w:pPr>
      <w:rPr>
        <w:rFonts w:hint="default"/>
      </w:rPr>
    </w:lvl>
  </w:abstractNum>
  <w:abstractNum w:abstractNumId="18">
    <w:nsid w:val="5CA1C15F"/>
    <w:multiLevelType w:val="singleLevel"/>
    <w:tmpl w:val="5CA1C15F"/>
    <w:lvl w:ilvl="0">
      <w:start w:val="1"/>
      <w:numFmt w:val="decimal"/>
      <w:suff w:val="nothing"/>
      <w:lvlText w:val="%1．"/>
      <w:lvlJc w:val="left"/>
      <w:pPr>
        <w:ind w:left="0" w:firstLine="400"/>
      </w:pPr>
      <w:rPr>
        <w:rFonts w:hint="default"/>
      </w:rPr>
    </w:lvl>
  </w:abstractNum>
  <w:abstractNum w:abstractNumId="19">
    <w:nsid w:val="75D52EE0"/>
    <w:multiLevelType w:val="multilevel"/>
    <w:tmpl w:val="75D52EE0"/>
    <w:lvl w:ilvl="0">
      <w:start w:val="1"/>
      <w:numFmt w:val="chineseCountingThousand"/>
      <w:lvlText w:val="（%1）"/>
      <w:lvlJc w:val="left"/>
      <w:pPr>
        <w:tabs>
          <w:tab w:val="num" w:pos="0"/>
        </w:tabs>
      </w:pPr>
      <w:rPr>
        <w:rFonts w:ascii="Times New Roman" w:eastAsia="宋体"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76DD5BC5"/>
    <w:multiLevelType w:val="singleLevel"/>
    <w:tmpl w:val="76DD5BC5"/>
    <w:lvl w:ilvl="0">
      <w:start w:val="1"/>
      <w:numFmt w:val="decimal"/>
      <w:suff w:val="nothing"/>
      <w:lvlText w:val="%1．"/>
      <w:lvlJc w:val="left"/>
      <w:pPr>
        <w:ind w:left="0" w:firstLine="400"/>
      </w:pPr>
      <w:rPr>
        <w:rFonts w:hint="default"/>
      </w:rPr>
    </w:lvl>
  </w:abstractNum>
  <w:num w:numId="1">
    <w:abstractNumId w:val="3"/>
  </w:num>
  <w:num w:numId="2">
    <w:abstractNumId w:val="4"/>
  </w:num>
  <w:num w:numId="3">
    <w:abstractNumId w:val="19"/>
  </w:num>
  <w:num w:numId="4">
    <w:abstractNumId w:val="7"/>
  </w:num>
  <w:num w:numId="5">
    <w:abstractNumId w:val="9"/>
  </w:num>
  <w:num w:numId="6">
    <w:abstractNumId w:val="8"/>
  </w:num>
  <w:num w:numId="7">
    <w:abstractNumId w:val="2"/>
  </w:num>
  <w:num w:numId="8">
    <w:abstractNumId w:val="10"/>
  </w:num>
  <w:num w:numId="9">
    <w:abstractNumId w:val="18"/>
  </w:num>
  <w:num w:numId="10">
    <w:abstractNumId w:val="14"/>
  </w:num>
  <w:num w:numId="11">
    <w:abstractNumId w:val="12"/>
  </w:num>
  <w:num w:numId="12">
    <w:abstractNumId w:val="11"/>
  </w:num>
  <w:num w:numId="13">
    <w:abstractNumId w:val="13"/>
  </w:num>
  <w:num w:numId="14">
    <w:abstractNumId w:val="15"/>
  </w:num>
  <w:num w:numId="15">
    <w:abstractNumId w:val="16"/>
  </w:num>
  <w:num w:numId="16">
    <w:abstractNumId w:val="17"/>
  </w:num>
  <w:num w:numId="17">
    <w:abstractNumId w:val="6"/>
  </w:num>
  <w:num w:numId="18">
    <w:abstractNumId w:val="1"/>
  </w:num>
  <w:num w:numId="19">
    <w:abstractNumId w:val="0"/>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noLineBreaksAfter w:lang="en-US" w:val="([{·‘“〈《「『【〔〖（．［｛￡￥"/>
  <w:noLineBreaksBefore w:lang="en-US" w:val="!),.:;?]}¨·ˇˉ―‖’”…∶、。〃々〉》」』】〕〗！＂＇），．：；？］｀｜｝～￠"/>
  <w:compat>
    <w:spaceForUL/>
    <w:balanceSingleByteDoubleByteWidth/>
    <w:doNotLeaveBackslashAlone/>
    <w:ulTrailSpace/>
    <w:doNotExpandShiftReturn/>
    <w:adjustLineHeightInTable/>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OGU5ZTI4YzgxNTliOTRhY2ZmYWRhM2QwOGY0YmQ3NzgifQ=="/>
  </w:docVars>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kern w:val="2"/>
      <w:sz w:val="21"/>
      <w:szCs w:val="24"/>
      <w:lang w:val="en-US" w:eastAsia="zh-CN" w:bidi="ar-SA"/>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character" w:customStyle="1" w:styleId="Char">
    <w:name w:val="批注框文本 Char"/>
    <w:basedOn w:val="DefaultParagraphFont"/>
    <w:link w:val="BalloonText"/>
    <w:uiPriority w:val="99"/>
    <w:semiHidden/>
    <w:rPr>
      <w:kern w:val="2"/>
      <w:sz w:val="18"/>
      <w:szCs w:val="18"/>
    </w:rPr>
  </w:style>
  <w:style w:type="character" w:customStyle="1" w:styleId="Char1">
    <w:name w:val="页脚 Char1"/>
    <w:basedOn w:val="DefaultParagraphFont"/>
    <w:link w:val="Footer"/>
    <w:uiPriority w:val="99"/>
    <w:semiHidden/>
    <w:qFormat/>
    <w:rPr>
      <w:rFonts w:ascii="Times New Roman" w:eastAsia="宋体" w:hAnsi="Times New Roman" w:cs="Times New Roman"/>
      <w:sz w:val="18"/>
      <w:szCs w:val="18"/>
    </w:rPr>
  </w:style>
  <w:style w:type="character" w:customStyle="1" w:styleId="Char0">
    <w:name w:val="页眉 Char"/>
    <w:basedOn w:val="DefaultParagraphFont"/>
    <w:link w:val="Header"/>
    <w:uiPriority w:val="99"/>
    <w:semiHidden/>
    <w:qFormat/>
    <w:rPr>
      <w:rFonts w:ascii="Times New Roman" w:eastAsia="宋体" w:hAnsi="Times New Roman" w:cs="Times New Roman"/>
      <w:sz w:val="18"/>
      <w:szCs w:val="18"/>
    </w:rPr>
  </w:style>
  <w:style w:type="character" w:styleId="Hyperlink">
    <w:name w:val="Hyperlink"/>
    <w:uiPriority w:val="99"/>
    <w:unhideWhenUsed/>
    <w:qFormat/>
    <w:rPr>
      <w:color w:val="0000FF"/>
      <w:u w:val="single"/>
    </w:rPr>
  </w:style>
  <w:style w:type="character" w:customStyle="1" w:styleId="Char2">
    <w:name w:val="页脚 Char"/>
    <w:uiPriority w:val="99"/>
    <w:qFormat/>
    <w:rPr>
      <w:rFonts w:ascii="Times New Roman" w:hAnsi="Times New Roman"/>
      <w:sz w:val="18"/>
      <w:szCs w:val="18"/>
    </w:rPr>
  </w:style>
  <w:style w:type="character" w:customStyle="1" w:styleId="Char3">
    <w:name w:val="副标题 Char"/>
    <w:uiPriority w:val="11"/>
    <w:qFormat/>
    <w:rPr>
      <w:rFonts w:ascii="Cambria" w:hAnsi="Cambria" w:cs="Cambria"/>
      <w:b/>
      <w:bCs/>
      <w:kern w:val="28"/>
      <w:sz w:val="32"/>
      <w:szCs w:val="32"/>
    </w:rPr>
  </w:style>
  <w:style w:type="character" w:customStyle="1" w:styleId="Char10">
    <w:name w:val="副标题 Char1"/>
    <w:basedOn w:val="DefaultParagraphFont"/>
    <w:link w:val="Subtitle"/>
    <w:uiPriority w:val="11"/>
    <w:qFormat/>
    <w:rPr>
      <w:rFonts w:ascii="Cambria" w:eastAsia="宋体" w:hAnsi="Cambria" w:cs="Times New Roman"/>
      <w:b/>
      <w:bCs/>
      <w:kern w:val="28"/>
      <w:sz w:val="32"/>
      <w:szCs w:val="32"/>
    </w:rPr>
  </w:style>
  <w:style w:type="paragraph" w:styleId="BalloonText">
    <w:name w:val="Balloon Text"/>
    <w:basedOn w:val="Normal"/>
    <w:link w:val="Char"/>
    <w:uiPriority w:val="99"/>
    <w:unhideWhenUsed/>
    <w:rPr>
      <w:sz w:val="18"/>
      <w:szCs w:val="18"/>
    </w:rPr>
  </w:style>
  <w:style w:type="paragraph" w:styleId="Subtitle">
    <w:name w:val="Subtitle"/>
    <w:basedOn w:val="Normal"/>
    <w:next w:val="Normal"/>
    <w:link w:val="Char10"/>
    <w:uiPriority w:val="11"/>
    <w:qFormat/>
    <w:pPr>
      <w:spacing w:before="240" w:after="60" w:line="312" w:lineRule="auto"/>
      <w:jc w:val="center"/>
      <w:outlineLvl w:val="1"/>
    </w:pPr>
    <w:rPr>
      <w:rFonts w:ascii="Cambria" w:hAnsi="Cambria"/>
      <w:b/>
      <w:bCs/>
      <w:kern w:val="28"/>
      <w:sz w:val="32"/>
      <w:szCs w:val="32"/>
    </w:rPr>
  </w:style>
  <w:style w:type="paragraph" w:customStyle="1" w:styleId="msonormalcxspmiddle">
    <w:name w:val="msonormalcxspmiddle"/>
    <w:basedOn w:val="Normal"/>
    <w:qFormat/>
    <w:pPr>
      <w:widowControl/>
      <w:spacing w:before="100" w:beforeAutospacing="1" w:after="100" w:afterAutospacing="1"/>
      <w:jc w:val="left"/>
    </w:pPr>
    <w:rPr>
      <w:rFonts w:ascii="宋体" w:hAnsi="宋体" w:cs="宋体"/>
      <w:kern w:val="0"/>
      <w:sz w:val="24"/>
    </w:rPr>
  </w:style>
  <w:style w:type="paragraph" w:customStyle="1" w:styleId="ListParagraph2">
    <w:name w:val="List Paragraph2"/>
    <w:basedOn w:val="Normal"/>
    <w:unhideWhenUsed/>
    <w:pPr>
      <w:ind w:firstLine="420" w:firstLineChars="200"/>
    </w:pPr>
    <w:rPr>
      <w:szCs w:val="20"/>
    </w:rPr>
  </w:style>
  <w:style w:type="paragraph" w:styleId="NormalWeb">
    <w:name w:val="Normal (Web)"/>
    <w:basedOn w:val="Normal"/>
    <w:uiPriority w:val="99"/>
    <w:unhideWhenUsed/>
    <w:qFormat/>
    <w:rPr>
      <w:sz w:val="24"/>
      <w:szCs w:val="20"/>
    </w:rPr>
  </w:style>
  <w:style w:type="paragraph" w:styleId="Header">
    <w:name w:val="header"/>
    <w:basedOn w:val="Normal"/>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Char1"/>
    <w:uiPriority w:val="99"/>
    <w:unhideWhenUsed/>
    <w:qFormat/>
    <w:pPr>
      <w:tabs>
        <w:tab w:val="center" w:pos="4153"/>
        <w:tab w:val="right" w:pos="8306"/>
      </w:tabs>
      <w:snapToGrid w:val="0"/>
      <w:jc w:val="left"/>
    </w:pPr>
    <w:rPr>
      <w:kern w:val="0"/>
      <w:sz w:val="18"/>
      <w:szCs w:val="18"/>
    </w:rPr>
  </w:style>
  <w:style w:type="paragraph" w:styleId="CommentText">
    <w:name w:val="annotation text"/>
    <w:basedOn w:val="Normal"/>
    <w:uiPriority w:val="99"/>
    <w:unhideWhenUsed/>
    <w:pPr>
      <w:jc w:val="left"/>
    </w:pPr>
  </w:style>
  <w:style w:type="paragraph" w:customStyle="1" w:styleId="Default">
    <w:name w:val="Default"/>
    <w:qFormat/>
    <w:pPr>
      <w:widowControl w:val="0"/>
      <w:autoSpaceDE w:val="0"/>
      <w:autoSpaceDN w:val="0"/>
      <w:adjustRightInd w:val="0"/>
    </w:pPr>
    <w:rPr>
      <w:color w:val="000000"/>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0</TotalTime>
  <Pages>31</Pages>
  <Words>4127</Words>
  <Characters>23527</Characters>
  <Application>Microsoft Office Word</Application>
  <DocSecurity>0</DocSecurity>
  <Lines>196</Lines>
  <Paragraphs>55</Paragraphs>
  <ScaleCrop>false</ScaleCrop>
  <Company>Microsoft</Company>
  <LinksUpToDate>false</LinksUpToDate>
  <CharactersWithSpaces>27599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2020-03-10T03:18:00Z</dcterms:created>
  <dc:creator>王卡尔</dc:creator>
  <lastModifiedBy>章昱忻</lastModifiedBy>
  <dcterms:modified xsi:type="dcterms:W3CDTF">2022-08-30T09:42:01Z</dcterms:modified>
  <revision>50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2052-11.8.2.8411</vt:lpwstr>
  </property>
</Properties>
</file>