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420" w:lineRule="exact"/>
        <w:jc w:val="center"/>
        <w:rPr>
          <w:rFonts w:ascii="宋体" w:hAnsi="宋体"/>
          <w:b/>
          <w:color w:val="auto"/>
        </w:rPr>
      </w:pPr>
      <w:r>
        <w:rPr>
          <w:rFonts w:hint="eastAsia" w:ascii="宋体" w:hAnsi="宋体"/>
          <w:b/>
          <w:color w:val="auto"/>
        </w:rPr>
        <w:t>杭银理财幸福99丰裕固收理财计划</w:t>
      </w:r>
    </w:p>
    <w:p>
      <w:pPr>
        <w:pStyle w:val="18"/>
        <w:spacing w:line="420" w:lineRule="exact"/>
        <w:jc w:val="center"/>
        <w:rPr>
          <w:rFonts w:ascii="宋体" w:hAnsi="宋体"/>
          <w:b/>
          <w:color w:val="auto"/>
        </w:rPr>
      </w:pPr>
      <w:r>
        <w:rPr>
          <w:rFonts w:hint="eastAsia" w:ascii="宋体" w:hAnsi="宋体"/>
          <w:b/>
          <w:color w:val="auto"/>
        </w:rPr>
        <w:t>风险揭示书</w:t>
      </w:r>
    </w:p>
    <w:p>
      <w:pPr>
        <w:pStyle w:val="18"/>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8"/>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8"/>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8"/>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8"/>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8"/>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8"/>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8"/>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8"/>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8"/>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8"/>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8"/>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8"/>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8"/>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杭银理财幸福99丰裕固收22070</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Z7002222000111</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8"/>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8"/>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8"/>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8"/>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8"/>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8"/>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8"/>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8"/>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8"/>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杭银理财幸福99丰裕固收22070期理财计划</w:t>
      </w:r>
      <w:r>
        <w:rPr>
          <w:rFonts w:hint="eastAsia" w:ascii="宋体" w:cs="宋体"/>
          <w:sz w:val="21"/>
          <w:szCs w:val="21"/>
        </w:rPr>
        <w:t>。</w:t>
      </w:r>
    </w:p>
    <w:p>
      <w:pPr>
        <w:pStyle w:val="18"/>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8"/>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8"/>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8"/>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8"/>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8"/>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8"/>
        <w:spacing w:line="360" w:lineRule="auto"/>
        <w:rPr>
          <w:rFonts w:ascii="宋体" w:eastAsia="Times New Roman"/>
          <w:sz w:val="22"/>
          <w:szCs w:val="22"/>
        </w:rPr>
      </w:pPr>
      <w:r>
        <w:rPr>
          <w:b/>
          <w:bCs/>
          <w:sz w:val="18"/>
          <w:szCs w:val="18"/>
        </w:rPr>
        <w:pict>
          <v:group id="Group 13" o:spid="_x0000_s1025" o:spt="203" style="position:absolute;left:0pt;margin-left:0pt;margin-top:3.9pt;height:210.6pt;width:459pt;mso-wrap-distance-bottom:0pt;mso-wrap-distance-top:0pt;z-index:251659264;mso-width-relative:page;mso-height-relative:page;" coordsize="6929,3159">
            <o:lock v:ext="edit" aspectratio="f"/>
            <v:rect id="Picture 14" o:spid="_x0000_s1026" o:spt="1" style="position:absolute;left:0;top:0;height:3159;width:6929;" filled="f" stroked="f" coordsize="21600,21600">
              <v:path/>
              <v:fill on="f" focussize="0,0"/>
              <v:stroke on="f"/>
              <v:imagedata o:title=""/>
              <o:lock v:ext="edit" text="t" aspectratio="t"/>
            </v:rect>
            <v:line id="Line 15" o:spid="_x0000_s1027" o:spt="20" style="position:absolute;left:544;top:2691;height:1;width:5026;" stroked="t" coordsize="21600,21600">
              <v:path arrowok="t"/>
              <v:fill focussize="0,0"/>
              <v:stroke endarrow="block"/>
              <v:imagedata o:title=""/>
              <o:lock v:ext="edit" aspectratio="f"/>
            </v:line>
            <v:line id="Line 16" o:spid="_x0000_s1028" o:spt="20" style="position:absolute;left:815;top:234;flip:y;height:2574;width:0;" stroked="t" coordsize="21600,21600">
              <v:path arrowok="t"/>
              <v:fill focussize="0,0"/>
              <v:stroke endarrow="block"/>
              <v:imagedata o:title=""/>
              <o:lock v:ext="edit" aspectratio="f"/>
            </v:line>
            <v:rect id="Rectangle 17" o:spid="_x0000_s1029"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0"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1"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2"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3"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4"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topAndBottom"/>
          </v:group>
        </w:pict>
      </w:r>
    </w:p>
    <w:p>
      <w:pPr>
        <w:pStyle w:val="18"/>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丰裕固收22070期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Z7002222000111</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r>
              <w:rPr>
                <w:rFonts w:hint="eastAsia" w:ascii="宋体" w:hAnsi="宋体"/>
                <w:color w:val="000000"/>
                <w:szCs w:val="21"/>
              </w:rPr>
              <w:t>投资者风险承受能力评级水平以销售机构评估为准。</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B份额（销售代码【FYG22070B】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C份额（销售代码【FYG22070C】）：部分代销客户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D份额（销售代码【FYG22070D】）：杭银理财特邀客户及部分代销客户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E份额（销售代码【FYG22070E】）：部分代销客户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C份额：发行规模上限〖25〗亿元。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E份额：发行规模上限〖1〗亿元。</w:t>
            </w:r>
          </w:p>
          <w:p>
            <w:pPr>
              <w:widowControl/>
              <w:spacing w:line="300" w:lineRule="auto"/>
              <w:contextualSpacing/>
              <w:rPr>
                <w:rFonts w:ascii="宋体" w:hAnsi="宋体"/>
                <w:color w:val="000000"/>
                <w:szCs w:val="21"/>
              </w:rPr>
            </w:pPr>
            <w:r>
              <w:rPr>
                <w:rFonts w:hint="eastAsia" w:ascii="宋体" w:hAnsi="宋体"/>
                <w:color w:val="000000"/>
                <w:szCs w:val="21"/>
              </w:rPr>
              <w:t>产品B、C、D、E份额总发行规模上限合计〖41〗亿元。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〖2022〗年〖11〗月〖29〗日-〖2022〗年〖12〗月〖5〗日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〖2023〗年〖12〗月〖14〗日，若到期日为非工作日则顺延至下一个工作日。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〖373〗天（实际理财期限受制于管理人提前终止权等条款）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w:t>
            </w:r>
            <w:r>
              <w:rPr>
                <w:rFonts w:hint="eastAsia" w:ascii="宋体" w:hAnsi="宋体"/>
                <w:color w:val="000000"/>
                <w:szCs w:val="21"/>
                <w:lang w:val="en-US" w:eastAsia="zh-CN"/>
              </w:rPr>
              <w:t>2</w:t>
            </w:r>
            <w:r>
              <w:rPr>
                <w:rFonts w:hint="eastAsia" w:ascii="宋体" w:hAnsi="宋体"/>
                <w:color w:val="000000"/>
                <w:szCs w:val="21"/>
              </w:rPr>
              <w:t>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w:t>
            </w:r>
            <w:r>
              <w:rPr>
                <w:rFonts w:hint="eastAsia" w:ascii="宋体" w:hAnsi="宋体"/>
                <w:color w:val="000000"/>
                <w:szCs w:val="21"/>
                <w:lang w:val="en-US" w:eastAsia="zh-CN"/>
              </w:rPr>
              <w:t>4.0</w:t>
            </w:r>
            <w:r>
              <w:rPr>
                <w:rFonts w:hint="eastAsia" w:ascii="宋体" w:hAnsi="宋体"/>
                <w:color w:val="000000"/>
                <w:szCs w:val="21"/>
              </w:rPr>
              <w:t>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w:t>
            </w:r>
            <w:r>
              <w:rPr>
                <w:rFonts w:hint="eastAsia" w:ascii="宋体" w:hAnsi="宋体"/>
                <w:color w:val="000000"/>
                <w:szCs w:val="21"/>
                <w:lang w:val="en-US" w:eastAsia="zh-CN"/>
              </w:rPr>
              <w:t>1</w:t>
            </w:r>
            <w:r>
              <w:rPr>
                <w:rFonts w:hint="eastAsia" w:ascii="宋体" w:hAnsi="宋体"/>
                <w:color w:val="000000"/>
                <w:szCs w:val="21"/>
              </w:rPr>
              <w:t>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w:t>
            </w:r>
            <w:r>
              <w:rPr>
                <w:rFonts w:hint="eastAsia" w:ascii="宋体" w:hAnsi="宋体"/>
                <w:color w:val="000000"/>
                <w:szCs w:val="21"/>
                <w:lang w:val="en-US" w:eastAsia="zh-CN"/>
              </w:rPr>
              <w:t>3</w:t>
            </w:r>
            <w:r>
              <w:rPr>
                <w:rFonts w:hint="eastAsia" w:ascii="宋体" w:hAnsi="宋体"/>
                <w:color w:val="000000"/>
                <w:szCs w:val="21"/>
              </w:rPr>
              <w:t>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cs="宋体"/>
                <w:szCs w:val="21"/>
                <w:lang w:val="en-US" w:eastAsia="zh-CN"/>
              </w:rPr>
              <w:t>3</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cs="宋体"/>
                <w:szCs w:val="21"/>
                <w:lang w:val="en-US" w:eastAsia="zh-CN"/>
              </w:rPr>
              <w:t>3</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cs="宋体"/>
                <w:szCs w:val="21"/>
                <w:lang w:val="en-US" w:eastAsia="zh-CN"/>
              </w:rPr>
              <w:t>3</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cs="宋体"/>
                <w:szCs w:val="21"/>
                <w:lang w:val="en-US" w:eastAsia="zh-CN"/>
              </w:rPr>
              <w:t>2</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8"/>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8"/>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8"/>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8"/>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8"/>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8"/>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8"/>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8"/>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B份额理财计划财产的年化销售服务费率为0%， C份额理财计划财产的年化销售服务费率为0.20%,D份额理财计划财产的年化销售服务费率为0.10%,E份额理财计划财产的年化销售服务费率为0%,以B份额为例计算方法如下：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E为B份额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B份额理财计划财产的年化固定管理费率为0.</w:t>
      </w:r>
      <w:r>
        <w:rPr>
          <w:rFonts w:hint="eastAsia" w:ascii="宋体" w:hAnsi="宋体"/>
          <w:color w:val="000000"/>
          <w:szCs w:val="21"/>
          <w:lang w:val="en-US" w:eastAsia="zh-CN"/>
        </w:rPr>
        <w:t>3</w:t>
      </w:r>
      <w:r>
        <w:rPr>
          <w:rFonts w:hint="eastAsia" w:ascii="宋体" w:hAnsi="宋体"/>
          <w:color w:val="000000"/>
          <w:szCs w:val="21"/>
        </w:rPr>
        <w:t>0%， C份额理财计划财产的年化固定管理费率为0.</w:t>
      </w:r>
      <w:r>
        <w:rPr>
          <w:rFonts w:hint="eastAsia" w:ascii="宋体" w:hAnsi="宋体"/>
          <w:color w:val="000000"/>
          <w:szCs w:val="21"/>
          <w:lang w:val="en-US" w:eastAsia="zh-CN"/>
        </w:rPr>
        <w:t>3</w:t>
      </w:r>
      <w:r>
        <w:rPr>
          <w:rFonts w:hint="eastAsia" w:ascii="宋体" w:hAnsi="宋体"/>
          <w:color w:val="000000"/>
          <w:szCs w:val="21"/>
        </w:rPr>
        <w:t>0%，D份额理财计划财产的年化固定管理费率为0.</w:t>
      </w:r>
      <w:r>
        <w:rPr>
          <w:rFonts w:hint="eastAsia" w:ascii="宋体" w:hAnsi="宋体"/>
          <w:color w:val="000000"/>
          <w:szCs w:val="21"/>
          <w:lang w:val="en-US" w:eastAsia="zh-CN"/>
        </w:rPr>
        <w:t>3</w:t>
      </w:r>
      <w:r>
        <w:rPr>
          <w:rFonts w:hint="eastAsia" w:ascii="宋体" w:hAnsi="宋体"/>
          <w:color w:val="000000"/>
          <w:szCs w:val="21"/>
        </w:rPr>
        <w:t>0%，E份额理财计划财产的年化固定管理费率为0.</w:t>
      </w:r>
      <w:r>
        <w:rPr>
          <w:rFonts w:hint="eastAsia" w:ascii="宋体" w:hAnsi="宋体"/>
          <w:color w:val="000000"/>
          <w:szCs w:val="21"/>
          <w:lang w:val="en-US" w:eastAsia="zh-CN"/>
        </w:rPr>
        <w:t>2</w:t>
      </w:r>
      <w:r>
        <w:rPr>
          <w:rFonts w:hint="eastAsia" w:ascii="宋体" w:hAnsi="宋体"/>
          <w:color w:val="000000"/>
          <w:szCs w:val="21"/>
        </w:rPr>
        <w:t>0%，以B份额为例计算方法如下：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w:t>
      </w:r>
      <w:r>
        <w:rPr>
          <w:rFonts w:hint="eastAsia" w:ascii="宋体" w:hAnsi="宋体"/>
          <w:color w:val="000000"/>
          <w:szCs w:val="21"/>
          <w:lang w:val="en-US" w:eastAsia="zh-CN"/>
        </w:rPr>
        <w:t>3</w:t>
      </w:r>
      <w:r>
        <w:rPr>
          <w:rFonts w:hint="eastAsia" w:ascii="宋体" w:hAnsi="宋体"/>
          <w:color w:val="000000"/>
          <w:szCs w:val="21"/>
        </w:rPr>
        <w:t>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E为B份额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以B份额为例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H为B份额产品到期（提前终止）时应收取的浮动管理费NAV为到期日（提前终止日）扣除固定管理费、托管费、销售服务费（如有）等固定费用后单位净值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R为B份额业绩比较基准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7"/>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676"/>
        <w:gridCol w:w="1561"/>
        <w:gridCol w:w="1417"/>
        <w:gridCol w:w="6200"/>
      </w:tblGrid>
      <w:tr>
        <w:tblPrEx>
          <w:tblCellMar>
            <w:top w:w="0" w:type="dxa"/>
            <w:left w:w="108" w:type="dxa"/>
            <w:bottom w:w="0" w:type="dxa"/>
            <w:right w:w="108" w:type="dxa"/>
          </w:tblCellMar>
        </w:tblPrEx>
        <w:trPr>
          <w:trHeight w:val="285"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上海市世纪大道1168号A座101室、18楼、19楼及20楼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57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7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湖南省长沙市岳麓区滨江路53号楷林商务中心B座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江苏紫金农村商业银行股份有限公司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烟台银行股份有限公司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4008-311-777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宁波东海银行股份有限公司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杭银理财有限责任公司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浙江省杭州市拱墅区庆春路38号金龙财富中心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四川天府银行股份有限公司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400-16-96869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江苏常熟农村商业银行股份有限公司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956020</w:t>
            </w:r>
          </w:p>
        </w:tc>
      </w:tr>
      <w:tr>
        <w:tblPrEx>
          <w:tblCellMar>
            <w:top w:w="0" w:type="dxa"/>
            <w:left w:w="108" w:type="dxa"/>
            <w:bottom w:w="0" w:type="dxa"/>
            <w:right w:w="108" w:type="dxa"/>
          </w:tblCellMar>
        </w:tblPrEx>
        <w:trPr>
          <w:trHeight w:val="28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绍兴银行股份有限公司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浙江省绍兴市越城区中兴南路1号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4000896528</w:t>
            </w:r>
          </w:p>
        </w:tc>
      </w:tr>
      <w:tr>
        <w:tblPrEx>
          <w:tblCellMar>
            <w:top w:w="0" w:type="dxa"/>
            <w:left w:w="108" w:type="dxa"/>
            <w:bottom w:w="0" w:type="dxa"/>
            <w:right w:w="108" w:type="dxa"/>
          </w:tblCellMar>
        </w:tblPrEx>
        <w:trPr>
          <w:trHeight w:val="28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浙江萧山农村商业银行股份有限公司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浙江省杭州市萧山区城厢街道人民路258号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浙江舟山定海海洋农村商业银行股份有限公司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浙江省舟山市定海区环城东路81号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0580-2030956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宁波镇海农村商业银行股份有限公司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浙江省宁波市镇海区骆驼街道镇海大道中段788号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0574-86297777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浙江平湖农村商业银行股份有限公司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浙江省平湖市当湖街道胜利路518号平湖农商银行总行</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0573-85150528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浙江南浔农村商业银行股份有限公司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浙江省湖州市南浔区南浔镇人瑞路1188号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浙江永康农村商业银行股份有限公司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浙江省永康市九铃东路3259号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潍坊银行股份有限公司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山东省潍坊市胜利东街5139号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400-61-96588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浙江海宁农村商业银行股份有限公司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浙江省海宁市钱江西路278号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0573-87696596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浙江台州黄岩农村商业银行股份有限公司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浙江省台州市黄岩洞天路88号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0576-89996596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浙江玉环农村商业银行股份有限公司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浙江省玉环市玉城街道珠港大道26号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广州市天河区珠江东路30号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400-83-96699</w:t>
            </w:r>
          </w:p>
        </w:tc>
      </w:tr>
      <w:tr>
        <w:tblPrEx>
          <w:tblCellMar>
            <w:top w:w="0" w:type="dxa"/>
            <w:left w:w="108" w:type="dxa"/>
            <w:bottom w:w="0" w:type="dxa"/>
            <w:right w:w="108" w:type="dxa"/>
          </w:tblCellMar>
        </w:tblPrEx>
        <w:trPr>
          <w:trHeight w:val="28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浙江临安农村商业银行股份有限公司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浙江省杭州市临安区钱王街821号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0571-61105831</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浙江安吉农村商业银行股份有限公司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浙江省安吉县昌硕街道昌硕东路1号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4006096596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浙江禾城农村商业银行股份有限公司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浙江省嘉兴市经济技术开发区文昌路1229号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浙江嘉善农村商业银行股份有限公司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浙江省嘉善县罗星街道车站南路999号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浙江海盐农村商业银行股份有限公司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浙江海盐武原街道枣园西路176号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浙江丽水莲都农村商业银行股份有限公司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浙江省丽水市莲都区解放街438号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0578-2027170</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宁波余姚农村商业银行股份有限公司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浙江省余姚市新建路69号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0574-62628862</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浙江乐清农村商业银行股份有限公司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浙江省乐清市城南街道伯乐西路99号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0577—62159999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浙江瑞安农村商业银行股份有限公司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浙江省温州市瑞安市万松东路148号瑞安农商银行总行</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4008057702</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浙江永嘉农村商业银行股份有限公司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浙江省永嘉县瓯北镇阳光大道3918号永嘉农商银行总行</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4008057705</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浙江舟山普陀农村商业银行股份有限公司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浙江省舟山市普陀区东港街道麒麟街225号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0580-3811083</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浙江嵊泗农村商业银行股份有限公司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浙江省嵊泗县菜园镇沙河路110号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浙江桐庐农村商业银行股份有限公司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浙江省杭州市桐庐县迎春南路278号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0571-64218827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浙江长兴农村商业银行股份有限公司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浙江省长兴县太湖街道明珠路1298号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浙江松阳农村商业银行股份有限公司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浙江省丽水市松阳县水南街道要津南路71号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浙江富阳农村商业银行股份有限公司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浙江省杭州市富阳区鹿山街道依江路501号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浙江天台农村商业银行股份有限公司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浙江省天台飞鹤路358号304室</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浙江临海农村商业银行股份有限公司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浙江省临海市大洋街道河阳路299号临海农商银行15F金融市场中心</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0576-85307599</w:t>
            </w:r>
          </w:p>
        </w:tc>
      </w:tr>
      <w:tr>
        <w:tblPrEx>
          <w:tblCellMar>
            <w:top w:w="0" w:type="dxa"/>
            <w:left w:w="108" w:type="dxa"/>
            <w:bottom w:w="0" w:type="dxa"/>
            <w:right w:w="108" w:type="dxa"/>
          </w:tblCellMar>
        </w:tblPrEx>
        <w:trPr>
          <w:trHeight w:val="146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9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9"/>
        <w:spacing w:line="360" w:lineRule="auto"/>
        <w:ind w:left="400" w:firstLine="0" w:firstLineChars="0"/>
        <w:rPr>
          <w:rFonts w:hint="eastAsia" w:ascii="宋体" w:hAnsi="宋体"/>
          <w:kern w:val="0"/>
          <w:szCs w:val="21"/>
        </w:rPr>
      </w:pPr>
      <w:bookmarkStart w:id="0" w:name="_GoBack"/>
      <w:bookmarkEnd w:id="0"/>
      <w:r>
        <w:rPr>
          <w:kern w:val="0"/>
        </w:rPr>
        <w:t xml:space="preserve">1. </w:t>
      </w:r>
      <w:r>
        <w:rPr>
          <w:rFonts w:hint="eastAsia" w:ascii="宋体" w:hAnsi="宋体"/>
          <w:kern w:val="0"/>
          <w:szCs w:val="21"/>
        </w:rPr>
        <w:t>官方网站：暂无</w:t>
      </w:r>
    </w:p>
    <w:p>
      <w:pPr>
        <w:pStyle w:val="19"/>
        <w:spacing w:line="360" w:lineRule="auto"/>
        <w:ind w:left="400" w:firstLine="0" w:firstLineChars="0"/>
        <w:rPr>
          <w:rFonts w:hint="eastAsia" w:ascii="宋体" w:hAnsi="宋体"/>
          <w:kern w:val="0"/>
          <w:szCs w:val="21"/>
        </w:rPr>
      </w:pPr>
      <w:r>
        <w:rPr>
          <w:kern w:val="0"/>
        </w:rPr>
        <w:t xml:space="preserve">2. </w:t>
      </w:r>
      <w:r>
        <w:rPr>
          <w:rFonts w:hint="eastAsia" w:ascii="宋体" w:hAnsi="宋体"/>
          <w:kern w:val="0"/>
          <w:szCs w:val="21"/>
        </w:rPr>
        <w:t>公司地址：杭州市拱墅区庆春路38号金龙财富中心6楼</w:t>
      </w:r>
    </w:p>
    <w:p>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04F3FF"/>
    <w:multiLevelType w:val="singleLevel"/>
    <w:tmpl w:val="5404F3FF"/>
    <w:lvl w:ilvl="0" w:tentative="0">
      <w:start w:val="1"/>
      <w:numFmt w:val="chineseCounting"/>
      <w:suff w:val="nothing"/>
      <w:lvlText w:val="（%1）"/>
      <w:lvlJc w:val="left"/>
      <w:rPr>
        <w:rFonts w:hint="eastAsia"/>
      </w:rPr>
    </w:lvl>
  </w:abstractNum>
  <w:abstractNum w:abstractNumId="7">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8">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9">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0">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1">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2">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3">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4">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5">
    <w:nsid w:val="5C82284E"/>
    <w:multiLevelType w:val="singleLevel"/>
    <w:tmpl w:val="5C82284E"/>
    <w:lvl w:ilvl="0" w:tentative="0">
      <w:start w:val="1"/>
      <w:numFmt w:val="decimal"/>
      <w:suff w:val="nothing"/>
      <w:lvlText w:val="（%1）"/>
      <w:lvlJc w:val="left"/>
    </w:lvl>
  </w:abstractNum>
  <w:abstractNum w:abstractNumId="16">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7">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8">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19">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0">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5"/>
  </w:num>
  <w:num w:numId="3">
    <w:abstractNumId w:val="20"/>
  </w:num>
  <w:num w:numId="4">
    <w:abstractNumId w:val="8"/>
  </w:num>
  <w:num w:numId="5">
    <w:abstractNumId w:val="10"/>
  </w:num>
  <w:num w:numId="6">
    <w:abstractNumId w:val="9"/>
  </w:num>
  <w:num w:numId="7">
    <w:abstractNumId w:val="3"/>
  </w:num>
  <w:num w:numId="8">
    <w:abstractNumId w:val="11"/>
  </w:num>
  <w:num w:numId="9">
    <w:abstractNumId w:val="19"/>
  </w:num>
  <w:num w:numId="10">
    <w:abstractNumId w:val="15"/>
  </w:num>
  <w:num w:numId="11">
    <w:abstractNumId w:val="13"/>
  </w:num>
  <w:num w:numId="12">
    <w:abstractNumId w:val="12"/>
  </w:num>
  <w:num w:numId="13">
    <w:abstractNumId w:val="14"/>
  </w:num>
  <w:num w:numId="14">
    <w:abstractNumId w:val="16"/>
  </w:num>
  <w:num w:numId="15">
    <w:abstractNumId w:val="17"/>
  </w:num>
  <w:num w:numId="16">
    <w:abstractNumId w:val="18"/>
  </w:num>
  <w:num w:numId="17">
    <w:abstractNumId w:val="7"/>
  </w:num>
  <w:num w:numId="18">
    <w:abstractNumId w:val="2"/>
  </w:num>
  <w:num w:numId="19">
    <w:abstractNumId w:val="0"/>
  </w:num>
  <w:num w:numId="20">
    <w:abstractNumId w:val="21"/>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5F4965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5"/>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副标题 Char"/>
    <w:qFormat/>
    <w:uiPriority w:val="11"/>
    <w:rPr>
      <w:rFonts w:ascii="Cambria" w:hAnsi="Cambria" w:cs="Cambria"/>
      <w:b/>
      <w:bCs/>
      <w:kern w:val="28"/>
      <w:sz w:val="32"/>
      <w:szCs w:val="32"/>
    </w:rPr>
  </w:style>
  <w:style w:type="character" w:customStyle="1" w:styleId="12">
    <w:name w:val="批注框文本 Char"/>
    <w:basedOn w:val="9"/>
    <w:link w:val="3"/>
    <w:semiHidden/>
    <w:qFormat/>
    <w:uiPriority w:val="99"/>
    <w:rPr>
      <w:kern w:val="2"/>
      <w:sz w:val="18"/>
      <w:szCs w:val="18"/>
    </w:rPr>
  </w:style>
  <w:style w:type="character" w:customStyle="1" w:styleId="13">
    <w:name w:val="页脚 Char1"/>
    <w:basedOn w:val="9"/>
    <w:link w:val="4"/>
    <w:semiHidden/>
    <w:qFormat/>
    <w:uiPriority w:val="99"/>
    <w:rPr>
      <w:rFonts w:ascii="Times New Roman" w:hAnsi="Times New Roman" w:eastAsia="宋体" w:cs="Times New Roman"/>
      <w:sz w:val="18"/>
      <w:szCs w:val="18"/>
    </w:rPr>
  </w:style>
  <w:style w:type="character" w:customStyle="1" w:styleId="14">
    <w:name w:val="页脚 Char"/>
    <w:qFormat/>
    <w:uiPriority w:val="99"/>
    <w:rPr>
      <w:rFonts w:ascii="Times New Roman" w:hAnsi="Times New Roman"/>
      <w:sz w:val="18"/>
      <w:szCs w:val="18"/>
    </w:rPr>
  </w:style>
  <w:style w:type="character" w:customStyle="1" w:styleId="15">
    <w:name w:val="副标题 Char1"/>
    <w:basedOn w:val="9"/>
    <w:link w:val="6"/>
    <w:qFormat/>
    <w:uiPriority w:val="11"/>
    <w:rPr>
      <w:rFonts w:ascii="Cambria" w:hAnsi="Cambria" w:eastAsia="宋体" w:cs="Times New Roman"/>
      <w:b/>
      <w:bCs/>
      <w:kern w:val="28"/>
      <w:sz w:val="32"/>
      <w:szCs w:val="32"/>
    </w:rPr>
  </w:style>
  <w:style w:type="character" w:customStyle="1" w:styleId="16">
    <w:name w:val="页眉 Char"/>
    <w:basedOn w:val="9"/>
    <w:link w:val="5"/>
    <w:semiHidden/>
    <w:qFormat/>
    <w:uiPriority w:val="99"/>
    <w:rPr>
      <w:rFonts w:ascii="Times New Roman" w:hAnsi="Times New Roman" w:eastAsia="宋体" w:cs="Times New Roman"/>
      <w:sz w:val="18"/>
      <w:szCs w:val="18"/>
    </w:rPr>
  </w:style>
  <w:style w:type="paragraph" w:customStyle="1" w:styleId="17">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List Paragraph2"/>
    <w:basedOn w:val="1"/>
    <w:unhideWhenUsed/>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26397</Words>
  <Characters>27829</Characters>
  <Lines>208</Lines>
  <Paragraphs>58</Paragraphs>
  <TotalTime>0</TotalTime>
  <ScaleCrop>false</ScaleCrop>
  <LinksUpToDate>false</LinksUpToDate>
  <CharactersWithSpaces>28474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2022-11-28T08:48:32Z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2052-11.1.0.12598</vt:lpwstr>
  </property>
</Properties>
</file>