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涉及费用调整的产品清</w:t>
      </w:r>
      <w:bookmarkStart w:id="0" w:name="_GoBack"/>
      <w:bookmarkEnd w:id="0"/>
      <w:r>
        <w:rPr>
          <w:rFonts w:hint="eastAsia"/>
        </w:rPr>
        <w:t>单</w:t>
      </w:r>
    </w:p>
    <w:tbl>
      <w:tblPr>
        <w:tblStyle w:val="2"/>
        <w:tblpPr w:leftFromText="180" w:rightFromText="180" w:vertAnchor="text" w:horzAnchor="page" w:tblpXSpec="center" w:tblpY="278"/>
        <w:tblOverlap w:val="never"/>
        <w:tblW w:w="9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35"/>
        <w:gridCol w:w="573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TYG7D2101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杭银理财幸福99周添益2101期理财计划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FRG1801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杭银理财幸福99月添益1801期理财计划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2022/6/7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TYG1M2001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杭银理财幸福99月添益2001期理财计划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2022/5/20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TYG3M1911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杭银理财幸福99季添益1911期理财计划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TYG3M1912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杭银理财幸福99季添益1912期理财计划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TYG3M1913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杭银理财幸福99季添益1913期理财计划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杭银理财幸福99季添益1904期理财计划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杭银理财幸福99季添益1905期理财计划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杭银理财幸福99季添益1906期理财计划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杭银理财幸福99季添益1907期理财计划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杭银理财幸福99季添益1908期理财计划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TYG3M1909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杭银理财幸福99季添益1909期理财计划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TYG3M1910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杭银理财幸福99季添益1910期理财计划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TYG90D2101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杭银理财幸福99添益90天周期型理财计划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TYGZ3M2101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杭银理财幸福99季添益（周申季赎平衡型）2101期理财计划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杭银理财幸福99半年添益2014期理财计划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杭银理财幸福99半年添益2015期理财计划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TYG6M1802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杭银理财幸福99半年添益1802期理财计划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杭银理财幸福99半年添益2016期理财计划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杭银理财幸福99半年添益2017期理财计划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杭银理财幸福99半年添益2018期理财计划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TYG6M1803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杭银理财幸福99半年添益1803期理财计划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杭银理财幸福99半年添益2019期理财计划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TYG6M1901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杭银理财幸福99半年添益1901期理财计划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杭银理财幸福99半年添益2004期理财计划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TYG6M1902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杭银理财幸福99半年添益1902期理财计划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杭银理财幸福99半年添益2005期理财计划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杭银理财幸福99半年添益2006期理财计划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杭银理财幸福99半年添益2007期理财计划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杭银理财幸福99半年添益2008期理财计划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TYG6M1801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杭银理财幸福99半年添益1801期理财计划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TYG6M2009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杭银理财幸福99半年添益2009期理财计划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杭银理财幸福99半年添益2010期理财计划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TYG6M1907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杭银理财幸福99半年添益1907期理财计划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TYG6M2013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杭银理财幸福99半年添益2013期理财计划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TYG13M2111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杭银理财幸福99年添益2111期理财计划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TYG13M2112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杭银理财幸福99年添益2112期理财计划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杭银理财幸福99年添益2002期理财计划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2022/9/22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杭银理财幸福99年添益2003期理财计划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2022/10/27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杭银理财幸福99年添益2004期理财计划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2022/11/24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杭银理财幸福99年添益2005期理财计划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2022/12/22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杭银理财幸福99年添益2006期理财计划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杭银理财幸福99年添益2007期理财计划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2023/2/15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TYG13M2008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杭银理财幸福99年添益2008期理财计划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TYG13M2109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杭银理财幸福99年添益2109期理财计划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2023/4/12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TYG13M2110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杭银理财幸福99年添益2110期理财计划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2023/5/18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TYG1Y2201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杭银理财幸福99添益1年周期型2201期理财计划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2022/5/10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08FA"/>
    <w:rsid w:val="7835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2022-04-20T11:24:00Z</dcterms:created>
  <dc:creator>马巧燕</dc:creator>
  <cp:lastModifiedBy>马巧燕</cp:lastModifiedBy>
  <dcterms:modified xsi:type="dcterms:W3CDTF">2022-04-20T11:25:53Z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DDCF1D32074D4A45B26E2134824BB59C</vt:lpwstr>
  </property>
</Properties>
</file>