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金钱包58号C款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1.7952%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0.4370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1.8446%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0.4633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1.8849%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0.4780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1.9141%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0.4984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1.9402%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0.5583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1.9929%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2.0196%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2.0468%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0.4847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2.0740%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2.0882%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2.1227%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2.1983%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0.5883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2.2311%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2.3057%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0.5357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2.3803%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0.5661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2.4389%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0.5977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2.4774%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2.3984%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2.3776%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0.6499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2.3670%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2.3454%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2.3152%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0.6757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2.2699%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2.2015%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0.5299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2.3261%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0.6300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