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rPr>
          <w:rFonts w:ascii="宋体" w:hAnsi="宋体" w:cs="宋体"/>
          <w:kern w:val="0"/>
        </w:rPr>
      </w:pPr>
    </w:p>
    <w:p>
      <w:pPr>
        <w:rPr>
          <w:rFonts w:ascii="宋体" w:hAnsi="宋体" w:cs="宋体"/>
          <w:kern w:val="0"/>
        </w:rPr>
      </w:pP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2013</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Z70022210001</w:t>
      </w:r>
      <w:r>
        <w:rPr>
          <w:rFonts w:hint="eastAsia" w:ascii="宋体" w:hAnsi="Wingdings" w:cs="宋体"/>
          <w:color w:val="000000"/>
          <w:kern w:val="0"/>
          <w:lang w:val="en-US" w:eastAsia="zh-CN"/>
        </w:rPr>
        <w:t>78</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2013</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2013</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w:t>
            </w:r>
            <w:r>
              <w:rPr>
                <w:rFonts w:ascii="宋体" w:hAnsi="宋体" w:cs="宋体"/>
                <w:color w:val="000000"/>
                <w:kern w:val="0"/>
              </w:rPr>
              <w:t>C10920</w:t>
            </w:r>
            <w:r>
              <w:rPr>
                <w:rFonts w:hint="eastAsia" w:ascii="宋体" w:hAnsi="宋体" w:cs="宋体"/>
                <w:color w:val="000000"/>
                <w:kern w:val="0"/>
              </w:rPr>
              <w:t>20000</w:t>
            </w:r>
            <w:r>
              <w:rPr>
                <w:rFonts w:hint="eastAsia" w:ascii="宋体" w:hAnsi="宋体" w:cs="宋体"/>
                <w:color w:val="000000"/>
                <w:kern w:val="0"/>
                <w:lang w:val="en-US" w:eastAsia="zh-CN"/>
              </w:rPr>
              <w:t>476</w:t>
            </w:r>
            <w:r>
              <w:rPr>
                <w:rFonts w:hint="eastAsia" w:ascii="宋体" w:hAnsi="宋体" w:cs="宋体"/>
                <w:color w:val="000000"/>
                <w:kern w:val="0"/>
              </w:rPr>
              <w:t>，</w:t>
            </w:r>
            <w:r>
              <w:rPr>
                <w:rFonts w:hint="eastAsia" w:ascii="宋体" w:hAnsi="宋体" w:cs="宋体"/>
              </w:rPr>
              <w:t>变更登记后为〖</w:t>
            </w:r>
            <w:r>
              <w:rPr>
                <w:rFonts w:ascii="宋体" w:hAnsi="宋体" w:cs="宋体"/>
              </w:rPr>
              <w:t>Z70022210001</w:t>
            </w:r>
            <w:r>
              <w:rPr>
                <w:rFonts w:hint="eastAsia" w:ascii="宋体" w:hAnsi="宋体" w:cs="宋体"/>
                <w:lang w:val="en-US" w:eastAsia="zh-CN"/>
              </w:rPr>
              <w:t>78</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规模下限为0.2亿元，产品规模上限在每个开放期进行调整，首次认购期规模上限为10亿元。若认购金额未达规模下限则管理人有权决定产品不成立，若认购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2020年4月21日至2020年4月28日。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2020年4月29日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首次开放期为2020年10月21日至2020年10月27日，首个确认日为2020年10月28日。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rPr>
              <w:t>+2.</w:t>
            </w:r>
            <w:r>
              <w:rPr>
                <w:rFonts w:hint="eastAsia" w:ascii="宋体" w:hAnsi="宋体" w:cs="宋体"/>
                <w:color w:val="000000"/>
                <w:kern w:val="0"/>
                <w:lang w:val="en-US" w:eastAsia="zh-CN"/>
              </w:rPr>
              <w:t>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1．销售手续费。本产品管理人收取年化0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的销售手续费，每日计提，每个投资周期结束后收取。</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的托管费，每日计提，每个投资周期结束后收取。</w:t>
            </w:r>
          </w:p>
          <w:p>
            <w:pPr>
              <w:rPr>
                <w:rFonts w:ascii="宋体" w:hAnsi="宋体" w:cs="宋体"/>
                <w:color w:val="000000"/>
                <w:kern w:val="0"/>
              </w:rPr>
            </w:pPr>
            <w:r>
              <w:rPr>
                <w:rFonts w:hint="eastAsia" w:ascii="宋体" w:hAnsi="宋体" w:cs="宋体"/>
                <w:color w:val="000000"/>
                <w:kern w:val="0"/>
              </w:rPr>
              <w:t>3．固定管理费。本产品管理人收取年化0.</w:t>
            </w:r>
            <w:r>
              <w:rPr>
                <w:rFonts w:hint="eastAsia" w:ascii="宋体" w:hAnsi="宋体" w:cs="宋体"/>
                <w:color w:val="000000"/>
                <w:kern w:val="0"/>
                <w:lang w:val="en-US" w:eastAsia="zh-CN"/>
              </w:rPr>
              <w:t>3</w:t>
            </w:r>
            <w:r>
              <w:rPr>
                <w:rFonts w:ascii="宋体" w:hAnsi="宋体" w:cs="宋体"/>
                <w:color w:val="000000"/>
                <w:kern w:val="0"/>
              </w:rPr>
              <w:t>%</w:t>
            </w:r>
            <w:r>
              <w:rPr>
                <w:rFonts w:hint="eastAsia" w:ascii="宋体" w:hAnsi="宋体" w:cs="宋体"/>
                <w:color w:val="000000"/>
                <w:kern w:val="0"/>
              </w:rPr>
              <w:t>的固定管理费，每日计提，每个投资周期结束后收取。</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2"/>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Ind w:w="0" w:type="dxa"/>
        <w:tblLayout w:type="fixed"/>
        <w:tblCellMar>
          <w:top w:w="15" w:type="dxa"/>
          <w:left w:w="15" w:type="dxa"/>
          <w:bottom w:w="15" w:type="dxa"/>
          <w:right w:w="15" w:type="dxa"/>
        </w:tblCellMar>
      </w:tblPr>
      <w:tblGrid>
        <w:gridCol w:w="3572"/>
        <w:gridCol w:w="2148"/>
        <w:gridCol w:w="3639"/>
      </w:tblGrid>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Layout w:type="fixed"/>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Layout w:type="fixed"/>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3"/>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4"/>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5"/>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5"/>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5"/>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6"/>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销售手续费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理财计划财产的年化销售手续费率为0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H为每日应计提的销售手续费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rPr>
        <w:t>销售手续费原则上按日计提，</w:t>
      </w:r>
      <w:r>
        <w:rPr>
          <w:rFonts w:hint="eastAsia" w:ascii="宋体" w:hAnsi="宋体" w:cs="宋体"/>
          <w:kern w:val="0"/>
        </w:rPr>
        <w:t>于每个投资周期结束后收取。</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理财托管人的托管费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E为本产品存续总份额</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于每个投资周期结束后收取。</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理财管理人的固定管理费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3</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3</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E为本产品存续总份额</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于每个投资周期结束后收取。</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示例一：扣除托管费、固定管理费和销售手续费后，投资收益率超越业绩比较基准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为5.60%，期间无分红。赎回时扣除增值税、托管费、销售手续费、固定管理费后，如产品净值为1.0615，此时，(1.0615/1.00-1)×365/362=6.20%&gt;5.60%，即投资收益超越业绩比较基准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示例二：扣除托管费、固定管理费和销售手续费后，投资收益率未达到业绩比较基准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。赎回时扣除增值税、托管费、销售手续费、固定管理费等各类税费后，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示例三：扣除托管费、固定管理费和销售手续费后，投资发生亏损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赎回时扣除增值税、托管费、销售手续费、固定管理费等各类税费后，如产品净值为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0"/>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2"/>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6"/>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6"/>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688"/>
        <w:gridCol w:w="1325"/>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00"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00"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00"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上海市浦东新区银城路 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00"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512"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13"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ascii="宋体" w:hAnsi="宋体"/>
          <w:b/>
          <w:bCs/>
          <w:color w:val="000000"/>
        </w:rPr>
      </w:pPr>
      <w:r>
        <w:rPr>
          <w:rFonts w:hint="eastAsia" w:ascii="宋体" w:hAnsi="宋体"/>
        </w:rPr>
        <w:t>（202101版）</w:t>
      </w:r>
    </w:p>
    <w:p>
      <w:pPr>
        <w:spacing w:line="360" w:lineRule="auto"/>
        <w:jc w:val="center"/>
        <w:rPr>
          <w:rFonts w:ascii="宋体" w:hAnsi="宋体"/>
          <w:b/>
          <w:bCs/>
          <w:u w:val="single"/>
        </w:rPr>
      </w:pPr>
      <w:r>
        <w:rPr>
          <w:rFonts w:hint="eastAsia" w:ascii="宋体" w:hAnsi="宋体"/>
          <w:b/>
          <w:bCs/>
          <w:u w:val="single"/>
        </w:rPr>
        <w:t>理财非存款、产品有风险、投资须谨慎</w:t>
      </w:r>
    </w:p>
    <w:p>
      <w:pPr>
        <w:spacing w:line="360" w:lineRule="auto"/>
        <w:rPr>
          <w:rFonts w:ascii="宋体" w:hAnsi="宋体"/>
          <w:kern w:val="0"/>
        </w:rPr>
      </w:pPr>
      <w:r>
        <w:rPr>
          <w:rFonts w:hint="eastAsia" w:ascii="宋体" w:hAnsi="宋体"/>
          <w:kern w:val="0"/>
        </w:rPr>
        <w:t>尊敬的投资者：</w:t>
      </w:r>
    </w:p>
    <w:p>
      <w:pPr>
        <w:spacing w:line="360" w:lineRule="auto"/>
        <w:ind w:firstLine="420" w:firstLineChars="200"/>
        <w:rPr>
          <w:rFonts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7"/>
        </w:numPr>
        <w:spacing w:line="360" w:lineRule="auto"/>
        <w:rPr>
          <w:rFonts w:ascii="宋体" w:hAnsi="宋体"/>
          <w:b/>
          <w:bCs/>
          <w:kern w:val="0"/>
        </w:rPr>
      </w:pPr>
      <w:r>
        <w:rPr>
          <w:rFonts w:hint="eastAsia" w:ascii="宋体" w:hAnsi="宋体"/>
          <w:b/>
          <w:bCs/>
          <w:kern w:val="0"/>
        </w:rPr>
        <w:t>理财计划办理流程</w:t>
      </w:r>
    </w:p>
    <w:p>
      <w:pPr>
        <w:numPr>
          <w:ilvl w:val="0"/>
          <w:numId w:val="18"/>
        </w:numPr>
        <w:spacing w:line="360" w:lineRule="auto"/>
        <w:rPr>
          <w:rFonts w:ascii="宋体" w:hAnsi="宋体"/>
          <w:kern w:val="0"/>
        </w:rPr>
      </w:pPr>
      <w:r>
        <w:rPr>
          <w:rFonts w:hint="eastAsia" w:ascii="宋体" w:hAnsi="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18"/>
        </w:numPr>
        <w:spacing w:line="360" w:lineRule="auto"/>
        <w:rPr>
          <w:rFonts w:ascii="宋体" w:hAnsi="宋体"/>
          <w:kern w:val="0"/>
        </w:rPr>
      </w:pPr>
      <w:r>
        <w:rPr>
          <w:rFonts w:hint="eastAsia" w:ascii="宋体" w:hAnsi="宋体"/>
          <w:kern w:val="0"/>
        </w:rPr>
        <w:t>首次在销售机构购买杭银理财理财计划的个人投资者须接受并完成销售机构对您的风险承受能力评估，并确认风险承受能力等级不低于本理财计划风险评级。</w:t>
      </w:r>
    </w:p>
    <w:p>
      <w:pPr>
        <w:numPr>
          <w:ilvl w:val="0"/>
          <w:numId w:val="18"/>
        </w:numPr>
        <w:spacing w:line="360" w:lineRule="auto"/>
        <w:rPr>
          <w:rFonts w:ascii="宋体" w:hAnsi="宋体"/>
          <w:kern w:val="0"/>
        </w:rPr>
      </w:pPr>
      <w:r>
        <w:rPr>
          <w:rFonts w:hint="eastAsia" w:ascii="宋体" w:hAnsi="宋体"/>
          <w:kern w:val="0"/>
        </w:rPr>
        <w:t>投资者应仔细阅读本理财计划完整合同（包括但不限于风险揭示书、理财计划产品说明书、投资者权益须知</w:t>
      </w:r>
      <w:r>
        <w:rPr>
          <w:rFonts w:hint="eastAsia" w:ascii="宋体" w:hAnsi="宋体"/>
          <w:kern w:val="0"/>
          <w:lang w:eastAsia="zh-CN"/>
        </w:rPr>
        <w:t>、</w:t>
      </w:r>
      <w:r>
        <w:rPr>
          <w:rFonts w:hint="eastAsia" w:ascii="宋体" w:hAnsi="宋体"/>
          <w:kern w:val="0"/>
        </w:rPr>
        <w:t>理财计划投资协议书</w:t>
      </w:r>
      <w:r>
        <w:rPr>
          <w:rFonts w:hint="eastAsia" w:ascii="宋体" w:hAnsi="宋体"/>
          <w:kern w:val="0"/>
          <w:lang w:val="en-US" w:eastAsia="zh-CN"/>
        </w:rPr>
        <w:t>和理财计划销售协议书</w:t>
      </w:r>
      <w:r>
        <w:rPr>
          <w:rFonts w:hint="eastAsia" w:ascii="宋体" w:hAnsi="宋体"/>
          <w:kern w:val="0"/>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18"/>
        </w:numPr>
        <w:spacing w:line="360" w:lineRule="auto"/>
        <w:rPr>
          <w:rFonts w:ascii="宋体" w:hAnsi="宋体"/>
          <w:kern w:val="0"/>
        </w:rPr>
      </w:pPr>
      <w:r>
        <w:rPr>
          <w:rFonts w:hint="eastAsia" w:ascii="宋体" w:hAnsi="宋体"/>
          <w:kern w:val="0"/>
        </w:rPr>
        <w:t>如在银行营业场所购买杭银理财理财计划，销售机构需对每笔理财计划销售过程同步录音录像。</w:t>
      </w:r>
    </w:p>
    <w:p>
      <w:pPr>
        <w:numPr>
          <w:ilvl w:val="0"/>
          <w:numId w:val="18"/>
        </w:numPr>
        <w:spacing w:line="360" w:lineRule="auto"/>
        <w:rPr>
          <w:rFonts w:ascii="宋体" w:hAnsi="宋体"/>
          <w:kern w:val="0"/>
        </w:rPr>
      </w:pPr>
      <w:r>
        <w:rPr>
          <w:rFonts w:hint="eastAsia" w:ascii="宋体" w:hAnsi="宋体"/>
          <w:kern w:val="0"/>
        </w:rPr>
        <w:t>投资者确定交易金额，完成交易申请，并在确认份额后进行查询。</w:t>
      </w:r>
    </w:p>
    <w:p>
      <w:pPr>
        <w:numPr>
          <w:ilvl w:val="0"/>
          <w:numId w:val="19"/>
        </w:numPr>
        <w:spacing w:line="360" w:lineRule="auto"/>
        <w:rPr>
          <w:rFonts w:ascii="宋体" w:hAnsi="宋体"/>
          <w:b/>
          <w:bCs/>
          <w:kern w:val="0"/>
        </w:rPr>
      </w:pPr>
      <w:r>
        <w:rPr>
          <w:rFonts w:hint="eastAsia" w:ascii="宋体" w:hAnsi="宋体"/>
          <w:b/>
          <w:bCs/>
          <w:kern w:val="0"/>
        </w:rPr>
        <w:t>杭银理财产品风险评级</w:t>
      </w:r>
    </w:p>
    <w:p>
      <w:pPr>
        <w:spacing w:line="360" w:lineRule="auto"/>
        <w:ind w:firstLine="420" w:firstLineChars="200"/>
        <w:rPr>
          <w:rFonts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ascii="宋体" w:hAnsi="宋体"/>
          <w:kern w:val="0"/>
        </w:rPr>
      </w:pPr>
    </w:p>
    <w:tbl>
      <w:tblPr>
        <w:tblStyle w:val="1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numPr>
          <w:ilvl w:val="0"/>
          <w:numId w:val="20"/>
        </w:numPr>
        <w:spacing w:line="360" w:lineRule="auto"/>
        <w:rPr>
          <w:rFonts w:ascii="宋体" w:hAnsi="宋体" w:cs="Times New Roman"/>
          <w:b/>
          <w:bCs/>
          <w:kern w:val="0"/>
        </w:rPr>
      </w:pPr>
      <w:r>
        <w:rPr>
          <w:rFonts w:hint="eastAsia" w:ascii="宋体" w:hAnsi="宋体"/>
          <w:b/>
          <w:bCs/>
          <w:kern w:val="0"/>
        </w:rPr>
        <w:t>投资者风险承受能力评估</w:t>
      </w:r>
    </w:p>
    <w:p>
      <w:pPr>
        <w:numPr>
          <w:ilvl w:val="0"/>
          <w:numId w:val="21"/>
        </w:numPr>
        <w:spacing w:line="360" w:lineRule="auto"/>
        <w:rPr>
          <w:rFonts w:ascii="宋体" w:hAnsi="宋体"/>
          <w:kern w:val="0"/>
        </w:rPr>
      </w:pPr>
      <w:r>
        <w:rPr>
          <w:rFonts w:hint="eastAsia" w:ascii="宋体" w:hAnsi="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21"/>
        </w:numPr>
        <w:spacing w:line="360" w:lineRule="auto"/>
        <w:rPr>
          <w:rFonts w:ascii="宋体" w:hAnsi="宋体"/>
          <w:kern w:val="0"/>
        </w:rPr>
      </w:pPr>
      <w:r>
        <w:rPr>
          <w:rFonts w:hint="eastAsia" w:ascii="宋体" w:hAnsi="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21"/>
        </w:numPr>
        <w:spacing w:line="360" w:lineRule="auto"/>
        <w:rPr>
          <w:rFonts w:ascii="宋体" w:hAnsi="宋体"/>
          <w:kern w:val="0"/>
        </w:rPr>
      </w:pPr>
      <w:r>
        <w:rPr>
          <w:rFonts w:hint="eastAsia" w:ascii="宋体" w:hAnsi="宋体"/>
          <w:kern w:val="0"/>
        </w:rPr>
        <w:t>个人投资者风险承受能力评估流程（详询销售机构工作人员）</w:t>
      </w:r>
    </w:p>
    <w:p>
      <w:pPr>
        <w:numPr>
          <w:ilvl w:val="0"/>
          <w:numId w:val="22"/>
        </w:numPr>
        <w:spacing w:line="360" w:lineRule="auto"/>
        <w:rPr>
          <w:rFonts w:ascii="宋体" w:hAnsi="宋体"/>
          <w:kern w:val="0"/>
        </w:rPr>
      </w:pPr>
      <w:r>
        <w:rPr>
          <w:rFonts w:hint="eastAsia" w:ascii="宋体" w:hAnsi="宋体"/>
          <w:kern w:val="0"/>
        </w:rPr>
        <w:t>个人投资者在销售机构进行风险承受能力评估；</w:t>
      </w:r>
    </w:p>
    <w:p>
      <w:pPr>
        <w:numPr>
          <w:ilvl w:val="0"/>
          <w:numId w:val="22"/>
        </w:numPr>
        <w:spacing w:line="360" w:lineRule="auto"/>
        <w:rPr>
          <w:rFonts w:ascii="宋体" w:hAnsi="宋体"/>
          <w:kern w:val="0"/>
        </w:rPr>
      </w:pPr>
      <w:r>
        <w:rPr>
          <w:rFonts w:hint="eastAsia" w:ascii="宋体" w:hAnsi="宋体"/>
          <w:kern w:val="0"/>
        </w:rPr>
        <w:t>填写销售机构个人投资者风险承受能力测试问卷；</w:t>
      </w:r>
    </w:p>
    <w:p>
      <w:pPr>
        <w:numPr>
          <w:ilvl w:val="0"/>
          <w:numId w:val="22"/>
        </w:numPr>
        <w:spacing w:line="360" w:lineRule="auto"/>
        <w:rPr>
          <w:rFonts w:ascii="宋体" w:hAnsi="宋体"/>
          <w:kern w:val="0"/>
        </w:rPr>
      </w:pPr>
      <w:r>
        <w:rPr>
          <w:rFonts w:hint="eastAsia" w:ascii="宋体" w:hAnsi="宋体"/>
          <w:kern w:val="0"/>
        </w:rPr>
        <w:t>生成相应的个人投资者风险承受能力评估结果；</w:t>
      </w:r>
    </w:p>
    <w:p>
      <w:pPr>
        <w:numPr>
          <w:ilvl w:val="0"/>
          <w:numId w:val="22"/>
        </w:numPr>
        <w:spacing w:line="360" w:lineRule="auto"/>
        <w:rPr>
          <w:rFonts w:ascii="宋体" w:hAnsi="宋体"/>
          <w:kern w:val="0"/>
        </w:rPr>
      </w:pPr>
      <w:r>
        <w:rPr>
          <w:rFonts w:hint="eastAsia" w:ascii="宋体" w:hAnsi="宋体"/>
          <w:kern w:val="0"/>
        </w:rPr>
        <w:t>投资者对评估结果进行确认。</w:t>
      </w:r>
    </w:p>
    <w:p>
      <w:pPr>
        <w:numPr>
          <w:ilvl w:val="0"/>
          <w:numId w:val="23"/>
        </w:numPr>
        <w:spacing w:line="360" w:lineRule="auto"/>
        <w:rPr>
          <w:rFonts w:ascii="宋体" w:hAnsi="宋体"/>
          <w:kern w:val="0"/>
        </w:rPr>
      </w:pPr>
      <w:r>
        <w:rPr>
          <w:rFonts w:hint="eastAsia" w:ascii="宋体" w:hAnsi="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23"/>
        </w:numPr>
        <w:spacing w:line="360" w:lineRule="auto"/>
        <w:rPr>
          <w:rFonts w:ascii="宋体" w:hAnsi="宋体"/>
          <w:kern w:val="0"/>
        </w:rPr>
      </w:pPr>
      <w:r>
        <w:rPr>
          <w:rFonts w:hint="eastAsia" w:ascii="宋体" w:hAnsi="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23"/>
        </w:numPr>
        <w:spacing w:line="360" w:lineRule="auto"/>
        <w:rPr>
          <w:rFonts w:ascii="宋体" w:hAnsi="宋体"/>
          <w:kern w:val="0"/>
        </w:rPr>
      </w:pPr>
      <w:r>
        <w:rPr>
          <w:rFonts w:hint="eastAsia" w:ascii="宋体" w:hAnsi="宋体"/>
          <w:kern w:val="0"/>
        </w:rPr>
        <w:t>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ascii="宋体" w:hAnsi="宋体"/>
          <w:b/>
          <w:bCs/>
          <w:kern w:val="0"/>
        </w:rPr>
      </w:pPr>
      <w:r>
        <w:rPr>
          <w:rFonts w:hint="eastAsia" w:ascii="宋体" w:hAnsi="宋体"/>
          <w:b/>
          <w:bCs/>
          <w:kern w:val="0"/>
        </w:rPr>
        <w:t>四、理财计划信息披露</w:t>
      </w:r>
    </w:p>
    <w:p>
      <w:pPr>
        <w:spacing w:line="360" w:lineRule="auto"/>
        <w:ind w:firstLine="420" w:firstLineChars="200"/>
        <w:rPr>
          <w:rFonts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ascii="宋体" w:hAnsi="宋体"/>
          <w:b/>
          <w:bCs/>
          <w:kern w:val="0"/>
        </w:rPr>
      </w:pPr>
      <w:r>
        <w:rPr>
          <w:rFonts w:hint="eastAsia" w:ascii="宋体" w:hAnsi="宋体"/>
          <w:b/>
          <w:bCs/>
          <w:kern w:val="0"/>
        </w:rPr>
        <w:t>五、投资者信息管理</w:t>
      </w:r>
    </w:p>
    <w:p>
      <w:pPr>
        <w:spacing w:line="360" w:lineRule="auto"/>
        <w:ind w:firstLine="420" w:firstLineChars="200"/>
        <w:rPr>
          <w:rFonts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ascii="宋体" w:hAnsi="宋体"/>
          <w:b/>
          <w:bCs/>
          <w:kern w:val="0"/>
        </w:rPr>
      </w:pPr>
      <w:r>
        <w:rPr>
          <w:rFonts w:hint="eastAsia" w:ascii="宋体" w:hAnsi="宋体"/>
          <w:b/>
          <w:bCs/>
          <w:kern w:val="0"/>
        </w:rPr>
        <w:t>六、投诉与建议</w:t>
      </w:r>
    </w:p>
    <w:p>
      <w:pPr>
        <w:numPr>
          <w:ilvl w:val="0"/>
          <w:numId w:val="24"/>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4"/>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25"/>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25"/>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spacing w:line="520" w:lineRule="exact"/>
        <w:ind w:firstLine="0" w:firstLineChars="0"/>
        <w:rPr>
          <w:rFonts w:hint="eastAsia" w:ascii="宋体" w:hAnsi="Wingdings" w:cs="宋体"/>
          <w:color w:val="000000"/>
          <w:kern w:val="0"/>
        </w:rPr>
      </w:pPr>
      <w:r>
        <w:rPr>
          <w:rFonts w:hint="eastAsia" w:ascii="宋体" w:hAnsi="宋体"/>
          <w:kern w:val="0"/>
        </w:rPr>
        <w:t>若上述联系方式变更，杭银理财将提前通过原官方网站及时告知投资者</w:t>
      </w:r>
      <w:bookmarkStart w:id="3" w:name="_GoBack"/>
      <w:bookmarkEnd w:id="3"/>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ascii="宋体" w:hAnsi="宋体"/>
          <w:b/>
          <w:bCs/>
        </w:rPr>
      </w:pPr>
      <w:r>
        <w:rPr>
          <w:rFonts w:hint="eastAsia" w:ascii="宋体" w:hAnsi="宋体"/>
        </w:rPr>
        <w:t>（202101版）</w:t>
      </w:r>
    </w:p>
    <w:p>
      <w:pPr>
        <w:jc w:val="center"/>
        <w:rPr>
          <w:rFonts w:ascii="宋体" w:hAnsi="宋体"/>
          <w:b/>
          <w:bCs/>
        </w:rPr>
      </w:pPr>
    </w:p>
    <w:p>
      <w:pPr>
        <w:spacing w:line="360" w:lineRule="auto"/>
        <w:ind w:firstLine="422" w:firstLineChars="200"/>
        <w:rPr>
          <w:rFonts w:ascii="宋体" w:hAnsi="宋体"/>
          <w:b/>
          <w:bCs/>
        </w:rPr>
      </w:pPr>
      <w:r>
        <w:rPr>
          <w:rFonts w:hint="eastAsia" w:ascii="宋体" w:hAnsi="宋体"/>
          <w:b/>
          <w:bCs/>
        </w:rPr>
        <w:t>特别提示：杭银理财理财计划投资协议书与杭银理财理财计划</w:t>
      </w:r>
      <w:r>
        <w:rPr>
          <w:rFonts w:hint="eastAsia" w:ascii="宋体" w:hAnsi="宋体"/>
          <w:b/>
          <w:bCs/>
          <w:lang w:val="en-US" w:eastAsia="zh-CN"/>
        </w:rPr>
        <w:t>销售</w:t>
      </w:r>
      <w:r>
        <w:rPr>
          <w:rFonts w:hint="eastAsia" w:ascii="宋体" w:hAnsi="宋体"/>
          <w:b/>
          <w:bCs/>
        </w:rPr>
        <w:t>协议书</w:t>
      </w:r>
      <w:r>
        <w:rPr>
          <w:rFonts w:hint="eastAsia" w:ascii="宋体" w:hAnsi="宋体"/>
          <w:b/>
          <w:bCs/>
          <w:lang w:eastAsia="zh-CN"/>
        </w:rPr>
        <w:t>、</w:t>
      </w:r>
      <w:r>
        <w:rPr>
          <w:rFonts w:hint="eastAsia" w:ascii="宋体" w:hAnsi="宋体"/>
          <w:b/>
          <w:bCs/>
        </w:rPr>
        <w:t>投资者权益须知、风险揭示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numPr>
          <w:ilvl w:val="0"/>
          <w:numId w:val="26"/>
        </w:numPr>
        <w:spacing w:line="360" w:lineRule="auto"/>
        <w:ind w:firstLine="422" w:firstLineChars="200"/>
        <w:rPr>
          <w:rFonts w:ascii="宋体" w:hAnsi="宋体"/>
          <w:b/>
          <w:bCs/>
        </w:rPr>
      </w:pPr>
      <w:r>
        <w:rPr>
          <w:rFonts w:hint="eastAsia" w:ascii="宋体" w:hAnsi="宋体"/>
          <w:b/>
          <w:bCs/>
        </w:rPr>
        <w:t>名词释义</w:t>
      </w:r>
    </w:p>
    <w:p>
      <w:pPr>
        <w:spacing w:line="360" w:lineRule="auto"/>
        <w:ind w:firstLine="420" w:firstLineChars="200"/>
        <w:rPr>
          <w:rFonts w:ascii="宋体" w:hAnsi="宋体"/>
        </w:rPr>
      </w:pPr>
      <w:r>
        <w:rPr>
          <w:rFonts w:hint="eastAsia" w:ascii="宋体" w:hAnsi="宋体"/>
        </w:rPr>
        <w:t>详见理财计划说明书“释义”部分。</w:t>
      </w:r>
    </w:p>
    <w:p>
      <w:pPr>
        <w:numPr>
          <w:ilvl w:val="0"/>
          <w:numId w:val="26"/>
        </w:numPr>
        <w:spacing w:line="360" w:lineRule="auto"/>
        <w:ind w:firstLine="422" w:firstLineChars="200"/>
        <w:rPr>
          <w:rFonts w:ascii="宋体" w:hAnsi="宋体"/>
          <w:b/>
          <w:bCs/>
        </w:rPr>
      </w:pPr>
      <w:r>
        <w:rPr>
          <w:rFonts w:hint="eastAsia" w:ascii="宋体" w:hAnsi="宋体"/>
          <w:b/>
          <w:bCs/>
        </w:rPr>
        <w:t>投资者权利与义务</w:t>
      </w:r>
    </w:p>
    <w:p>
      <w:pPr>
        <w:widowControl/>
        <w:numPr>
          <w:ilvl w:val="0"/>
          <w:numId w:val="27"/>
        </w:numPr>
        <w:spacing w:line="360" w:lineRule="auto"/>
        <w:contextualSpacing/>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7"/>
        </w:numPr>
        <w:spacing w:line="360" w:lineRule="auto"/>
        <w:contextualSpacing/>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27"/>
        </w:numPr>
        <w:spacing w:line="360" w:lineRule="auto"/>
        <w:contextualSpacing/>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27"/>
        </w:numPr>
        <w:spacing w:line="360" w:lineRule="auto"/>
        <w:contextualSpacing/>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7"/>
        </w:numPr>
        <w:spacing w:line="360" w:lineRule="auto"/>
        <w:contextualSpacing/>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7"/>
        </w:numPr>
        <w:spacing w:line="360" w:lineRule="auto"/>
        <w:contextualSpacing/>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7"/>
        </w:numPr>
        <w:spacing w:line="360" w:lineRule="auto"/>
        <w:contextualSpacing/>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27"/>
        </w:numPr>
        <w:spacing w:line="360" w:lineRule="auto"/>
        <w:contextualSpacing/>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7"/>
        </w:numPr>
        <w:spacing w:line="360" w:lineRule="auto"/>
        <w:contextualSpacing/>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管理人权利与义务</w:t>
      </w:r>
    </w:p>
    <w:p>
      <w:pPr>
        <w:widowControl/>
        <w:numPr>
          <w:ilvl w:val="0"/>
          <w:numId w:val="28"/>
        </w:numPr>
        <w:spacing w:line="360" w:lineRule="auto"/>
        <w:contextualSpacing/>
        <w:rPr>
          <w:rFonts w:ascii="宋体" w:hAnsi="宋体"/>
        </w:rPr>
      </w:pPr>
      <w:r>
        <w:rPr>
          <w:rFonts w:hint="eastAsia" w:ascii="宋体" w:hAnsi="宋体"/>
        </w:rPr>
        <w:t xml:space="preserve">管理人应当诚实守信、勤勉尽责地履行受人之托、代人理财职责。 </w:t>
      </w:r>
    </w:p>
    <w:p>
      <w:pPr>
        <w:widowControl/>
        <w:numPr>
          <w:ilvl w:val="0"/>
          <w:numId w:val="28"/>
        </w:numPr>
        <w:spacing w:line="360" w:lineRule="auto"/>
        <w:contextualSpacing/>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28"/>
        </w:numPr>
        <w:spacing w:line="360" w:lineRule="auto"/>
        <w:contextualSpacing/>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28"/>
        </w:numPr>
        <w:spacing w:line="360" w:lineRule="auto"/>
        <w:contextualSpacing/>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28"/>
        </w:numPr>
        <w:spacing w:line="360" w:lineRule="auto"/>
        <w:contextualSpacing/>
        <w:rPr>
          <w:rFonts w:ascii="宋体" w:hAnsi="宋体"/>
        </w:rPr>
      </w:pPr>
      <w:r>
        <w:rPr>
          <w:rFonts w:hint="eastAsia" w:ascii="宋体" w:hAnsi="宋体"/>
        </w:rPr>
        <w:t>管理人不得将理财计划财产归入其自有资产，因依法解散、被依法撤销或者被依法宣告破产等原因进行清算的，理财计划财产不属于其清算财产。</w:t>
      </w:r>
    </w:p>
    <w:p>
      <w:pPr>
        <w:widowControl/>
        <w:numPr>
          <w:ilvl w:val="0"/>
          <w:numId w:val="28"/>
        </w:numPr>
        <w:spacing w:line="360" w:lineRule="auto"/>
        <w:contextualSpacing/>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28"/>
        </w:numPr>
        <w:spacing w:line="360" w:lineRule="auto"/>
        <w:contextualSpacing/>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28"/>
        </w:numPr>
        <w:spacing w:line="360" w:lineRule="auto"/>
        <w:contextualSpacing/>
        <w:rPr>
          <w:rFonts w:ascii="宋体" w:hAnsi="宋体"/>
        </w:rPr>
      </w:pPr>
      <w:r>
        <w:rPr>
          <w:rFonts w:hint="eastAsia" w:ascii="宋体" w:hAnsi="宋体"/>
        </w:rPr>
        <w:t xml:space="preserve">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numPr>
          <w:ilvl w:val="0"/>
          <w:numId w:val="28"/>
        </w:numPr>
        <w:spacing w:line="360" w:lineRule="auto"/>
        <w:contextualSpacing/>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理财计划认（申）购、赎回及终止</w:t>
      </w:r>
    </w:p>
    <w:p>
      <w:pPr>
        <w:widowControl/>
        <w:numPr>
          <w:ilvl w:val="0"/>
          <w:numId w:val="29"/>
        </w:numPr>
        <w:spacing w:line="360" w:lineRule="auto"/>
        <w:contextualSpacing/>
        <w:rPr>
          <w:rFonts w:ascii="宋体" w:hAnsi="宋体"/>
        </w:rPr>
      </w:pPr>
      <w:r>
        <w:rPr>
          <w:rFonts w:hint="eastAsia" w:ascii="宋体" w:hAnsi="宋体"/>
        </w:rPr>
        <w:t xml:space="preserve">理财计划认/申购办理流程：参照《投资者权益须知》约定。 </w:t>
      </w:r>
    </w:p>
    <w:p>
      <w:pPr>
        <w:widowControl/>
        <w:numPr>
          <w:ilvl w:val="0"/>
          <w:numId w:val="29"/>
        </w:numPr>
        <w:spacing w:line="360" w:lineRule="auto"/>
        <w:contextualSpacing/>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29"/>
        </w:numPr>
        <w:spacing w:line="360" w:lineRule="auto"/>
        <w:contextualSpacing/>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29"/>
        </w:numPr>
        <w:spacing w:line="360" w:lineRule="auto"/>
        <w:contextualSpacing/>
        <w:rPr>
          <w:rFonts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29"/>
        </w:numPr>
        <w:spacing w:line="360" w:lineRule="auto"/>
        <w:contextualSpacing/>
        <w:rPr>
          <w:rFonts w:ascii="宋体" w:hAnsi="宋体"/>
        </w:rPr>
      </w:pPr>
      <w:r>
        <w:rPr>
          <w:rFonts w:hint="eastAsia" w:ascii="宋体" w:hAnsi="宋体"/>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29"/>
        </w:numPr>
        <w:spacing w:line="360" w:lineRule="auto"/>
        <w:contextualSpacing/>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税收处理</w:t>
      </w:r>
    </w:p>
    <w:p>
      <w:pPr>
        <w:widowControl/>
        <w:spacing w:line="360" w:lineRule="auto"/>
        <w:ind w:firstLine="420" w:firstLineChars="200"/>
        <w:contextualSpacing/>
        <w:rPr>
          <w:rFonts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ascii="宋体" w:hAnsi="宋体"/>
        </w:rPr>
      </w:pPr>
    </w:p>
    <w:p>
      <w:pPr>
        <w:numPr>
          <w:ilvl w:val="0"/>
          <w:numId w:val="26"/>
        </w:numPr>
        <w:spacing w:line="360" w:lineRule="auto"/>
        <w:ind w:firstLine="422" w:firstLineChars="200"/>
        <w:rPr>
          <w:rFonts w:ascii="宋体" w:hAnsi="宋体"/>
          <w:b/>
          <w:bCs/>
        </w:rPr>
      </w:pPr>
      <w:r>
        <w:rPr>
          <w:rFonts w:hint="eastAsia" w:ascii="宋体" w:hAnsi="宋体"/>
          <w:b/>
          <w:bCs/>
        </w:rPr>
        <w:t>违约责任及免责条款</w:t>
      </w:r>
    </w:p>
    <w:p>
      <w:pPr>
        <w:widowControl/>
        <w:numPr>
          <w:ilvl w:val="0"/>
          <w:numId w:val="30"/>
        </w:numPr>
        <w:spacing w:line="360" w:lineRule="auto"/>
        <w:contextualSpacing/>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numPr>
          <w:ilvl w:val="0"/>
          <w:numId w:val="30"/>
        </w:numPr>
        <w:spacing w:line="360" w:lineRule="auto"/>
        <w:contextualSpacing/>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30"/>
        </w:numPr>
        <w:spacing w:line="360" w:lineRule="auto"/>
        <w:contextualSpacing/>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30"/>
        </w:numPr>
        <w:spacing w:line="360" w:lineRule="auto"/>
        <w:contextualSpacing/>
        <w:rPr>
          <w:rFonts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30"/>
        </w:numPr>
        <w:spacing w:line="360" w:lineRule="auto"/>
        <w:contextualSpacing/>
        <w:rPr>
          <w:rFonts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30"/>
        </w:numPr>
        <w:spacing w:line="360" w:lineRule="auto"/>
        <w:contextualSpacing/>
        <w:rPr>
          <w:rFonts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26"/>
        </w:numPr>
        <w:spacing w:line="360" w:lineRule="auto"/>
        <w:ind w:firstLine="422" w:firstLineChars="200"/>
        <w:rPr>
          <w:rFonts w:ascii="Times New Roman" w:hAnsi="Times New Roman"/>
          <w:b/>
          <w:bCs/>
        </w:rPr>
      </w:pPr>
      <w:r>
        <w:rPr>
          <w:rFonts w:hint="eastAsia" w:ascii="宋体" w:hAnsi="宋体"/>
          <w:b/>
          <w:bCs/>
        </w:rPr>
        <w:t>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协议生效和终止</w:t>
      </w:r>
    </w:p>
    <w:p>
      <w:pPr>
        <w:widowControl/>
        <w:numPr>
          <w:ilvl w:val="0"/>
          <w:numId w:val="31"/>
        </w:numPr>
        <w:spacing w:line="360" w:lineRule="auto"/>
        <w:contextualSpacing/>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31"/>
        </w:numPr>
        <w:spacing w:line="360" w:lineRule="auto"/>
        <w:contextualSpacing/>
        <w:rPr>
          <w:rFonts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31"/>
        </w:numPr>
        <w:spacing w:line="360" w:lineRule="auto"/>
        <w:contextualSpacing/>
        <w:rPr>
          <w:rFonts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31"/>
        </w:numPr>
        <w:spacing w:line="360" w:lineRule="auto"/>
        <w:contextualSpacing/>
        <w:rPr>
          <w:rFonts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26"/>
        </w:numPr>
        <w:spacing w:line="360" w:lineRule="auto"/>
        <w:ind w:firstLine="422" w:firstLineChars="200"/>
        <w:rPr>
          <w:rFonts w:ascii="Times New Roman" w:hAnsi="Times New Roman"/>
          <w:b/>
          <w:bCs/>
        </w:rPr>
      </w:pPr>
      <w:r>
        <w:rPr>
          <w:rFonts w:hint="eastAsia" w:ascii="宋体" w:hAnsi="宋体"/>
          <w:b/>
          <w:bCs/>
        </w:rPr>
        <w:t>附则</w:t>
      </w:r>
    </w:p>
    <w:p>
      <w:pPr>
        <w:widowControl/>
        <w:numPr>
          <w:ilvl w:val="0"/>
          <w:numId w:val="32"/>
        </w:numPr>
        <w:spacing w:line="360" w:lineRule="auto"/>
        <w:contextualSpacing/>
        <w:rPr>
          <w:rFonts w:ascii="宋体" w:hAnsi="宋体"/>
        </w:rPr>
      </w:pPr>
      <w:r>
        <w:rPr>
          <w:rFonts w:hint="eastAsia" w:ascii="宋体" w:hAnsi="宋体"/>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32"/>
        </w:numPr>
        <w:spacing w:line="360" w:lineRule="auto"/>
        <w:contextualSpacing/>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32"/>
        </w:numPr>
        <w:spacing w:line="360" w:lineRule="auto"/>
        <w:contextualSpacing/>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rPr>
          <w:rFonts w:ascii="宋体" w:hAnsi="宋体"/>
          <w:color w:val="000000"/>
        </w:rPr>
      </w:pPr>
    </w:p>
    <w:p>
      <w:pPr>
        <w:spacing w:line="360" w:lineRule="auto"/>
        <w:rPr>
          <w:rFonts w:ascii="宋体" w:hAnsi="宋体"/>
          <w:color w:val="000000"/>
        </w:rPr>
      </w:pPr>
    </w:p>
    <w:p>
      <w:pPr>
        <w:pStyle w:val="10"/>
        <w:widowControl/>
        <w:spacing w:line="360" w:lineRule="auto"/>
        <w:jc w:val="right"/>
        <w:rPr>
          <w:rFonts w:hint="eastAsia" w:ascii="宋体" w:hAnsi="Wingdings"/>
          <w:color w:val="000000"/>
          <w:kern w:val="0"/>
          <w:sz w:val="21"/>
          <w:szCs w:val="21"/>
        </w:rPr>
      </w:pPr>
      <w:r>
        <w:rPr>
          <w:rFonts w:hint="eastAsia" w:ascii="宋体" w:hAnsi="宋体"/>
          <w:kern w:val="0"/>
          <w:sz w:val="21"/>
          <w:szCs w:val="21"/>
        </w:rPr>
        <w:t>杭银理财有限责任公司</w:t>
      </w:r>
    </w:p>
    <w:p>
      <w:pPr>
        <w:rPr>
          <w:rFonts w:ascii="Times New Roman" w:hAnsi="Times New Roman"/>
        </w:rPr>
      </w:pPr>
    </w:p>
    <w:p>
      <w:pPr>
        <w:spacing w:line="520" w:lineRule="exact"/>
        <w:ind w:firstLine="424" w:firstLineChars="202"/>
        <w:rPr>
          <w:rFonts w:hint="eastAsia" w:ascii="宋体" w:hAnsi="Wingdings" w:cs="宋体"/>
          <w:color w:val="000000"/>
          <w:kern w:val="0"/>
        </w:rPr>
      </w:pPr>
    </w:p>
    <w:p>
      <w:pPr>
        <w:pStyle w:val="10"/>
        <w:widowControl/>
        <w:spacing w:line="360" w:lineRule="auto"/>
        <w:jc w:val="center"/>
        <w:rPr>
          <w:rFonts w:ascii="宋体" w:hAnsi="宋体" w:cs="宋体"/>
          <w:kern w:val="0"/>
          <w:sz w:val="21"/>
          <w:szCs w:val="21"/>
        </w:rPr>
      </w:pPr>
      <w:r>
        <w:rPr>
          <w:rFonts w:hint="eastAsia" w:ascii="宋体" w:hAnsi="宋体" w:cs="宋体"/>
          <w:b/>
          <w:sz w:val="32"/>
          <w:szCs w:val="32"/>
        </w:rPr>
        <w:t>杭银理财理财计划销售协议书</w:t>
      </w:r>
    </w:p>
    <w:p>
      <w:pPr>
        <w:jc w:val="center"/>
        <w:rPr>
          <w:rFonts w:ascii="宋体" w:hAnsi="宋体" w:cs="宋体"/>
        </w:rPr>
      </w:pPr>
      <w:r>
        <w:rPr>
          <w:rFonts w:hint="eastAsia" w:ascii="宋体" w:hAnsi="宋体" w:cs="宋体"/>
          <w:szCs w:val="21"/>
        </w:rPr>
        <w:t>（202101版）</w:t>
      </w:r>
    </w:p>
    <w:p>
      <w:pPr>
        <w:autoSpaceDE w:val="0"/>
        <w:spacing w:line="360" w:lineRule="auto"/>
        <w:jc w:val="center"/>
      </w:pPr>
    </w:p>
    <w:p>
      <w:pPr>
        <w:autoSpaceDE w:val="0"/>
        <w:spacing w:line="360" w:lineRule="auto"/>
        <w:ind w:firstLine="422" w:firstLineChars="200"/>
        <w:rPr>
          <w:rFonts w:ascii="宋体" w:hAnsi="宋体"/>
          <w:b/>
          <w:sz w:val="21"/>
        </w:rPr>
      </w:pPr>
      <w:r>
        <w:rPr>
          <w:rFonts w:hint="eastAsia" w:ascii="宋体" w:hAnsi="宋体"/>
          <w:b/>
          <w:sz w:val="21"/>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b/>
          <w:sz w:val="21"/>
        </w:rPr>
      </w:pPr>
      <w:r>
        <w:rPr>
          <w:rFonts w:hint="eastAsia" w:ascii="宋体" w:hAnsi="宋体"/>
          <w:b/>
          <w:sz w:val="21"/>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sz w:val="21"/>
        </w:rPr>
      </w:pPr>
      <w:r>
        <w:rPr>
          <w:rFonts w:hint="eastAsia" w:ascii="宋体" w:hAnsi="宋体"/>
          <w:sz w:val="21"/>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sz w:val="21"/>
        </w:rPr>
      </w:pPr>
      <w:r>
        <w:rPr>
          <w:rFonts w:hint="eastAsia" w:ascii="宋体" w:hAnsi="宋体"/>
          <w:sz w:val="21"/>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sz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名词释义</w:t>
      </w:r>
    </w:p>
    <w:p>
      <w:pPr>
        <w:widowControl/>
        <w:autoSpaceDE w:val="0"/>
        <w:spacing w:line="360" w:lineRule="auto"/>
        <w:ind w:firstLine="420" w:firstLineChars="200"/>
        <w:jc w:val="left"/>
        <w:rPr>
          <w:rFonts w:ascii="宋体" w:hAnsi="宋体"/>
          <w:sz w:val="21"/>
        </w:rPr>
      </w:pPr>
      <w:r>
        <w:rPr>
          <w:rFonts w:hint="eastAsia" w:ascii="宋体" w:hAnsi="宋体"/>
          <w:sz w:val="21"/>
        </w:rPr>
        <w:t>详见对应期次的理财计划产品说明书“释义”部分。</w:t>
      </w:r>
    </w:p>
    <w:p>
      <w:pPr>
        <w:widowControl/>
        <w:autoSpaceDE w:val="0"/>
        <w:spacing w:line="360" w:lineRule="auto"/>
        <w:ind w:firstLine="420" w:firstLineChars="200"/>
        <w:jc w:val="left"/>
        <w:rPr>
          <w:rFonts w:ascii="宋体" w:hAnsi="宋体"/>
          <w:sz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投资者权利与义务</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sz w:val="21"/>
          <w:szCs w:val="21"/>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投资者保证自身完全了解理财投资的性质，投资所涉及的风险以及自身风险承受能力，在慎重考虑后独立作出交易决定。</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b/>
          <w:sz w:val="21"/>
          <w:szCs w:val="21"/>
        </w:rPr>
        <w:t>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sz w:val="21"/>
          <w:szCs w:val="21"/>
        </w:rPr>
        <w:t>投资冷静期相关约定详见理财计划产品说明书。</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投资者保证其有权利签署本协议和履行本协议所述的义务，并已为此采取一切所需的行为。</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b/>
          <w:sz w:val="21"/>
          <w:szCs w:val="21"/>
        </w:rPr>
        <w:t>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sz w:val="21"/>
          <w:szCs w:val="21"/>
        </w:rPr>
        <w:t>。</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本协议终止前，投资者不得将授权指定账户销户。若发生因投资者注销授权指定账户造成理财计划无法正常兑付的，代理销售机构不承担任何责任。</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投资者对本协议及其条款负有保密义务，未经代理销售机构书面许可，不得向任何组织、个人提供或泄露与代理销售机构有关的业务资料及信息，但法律、法规另有规定的除外。</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投资者进行投资时，应严格遵守反洗钱相关法规的规定，切实履行反洗钱及反恐怖融资义务。</w:t>
      </w:r>
    </w:p>
    <w:p>
      <w:pPr>
        <w:pStyle w:val="10"/>
        <w:widowControl/>
        <w:numPr>
          <w:ilvl w:val="0"/>
          <w:numId w:val="34"/>
        </w:numPr>
        <w:spacing w:line="360" w:lineRule="auto"/>
        <w:contextualSpacing/>
        <w:rPr>
          <w:rFonts w:ascii="宋体" w:hAnsi="宋体" w:cs="黑体"/>
          <w:b/>
          <w:sz w:val="21"/>
          <w:szCs w:val="21"/>
        </w:rPr>
      </w:pPr>
      <w:r>
        <w:rPr>
          <w:rFonts w:hint="eastAsia" w:ascii="宋体" w:hAnsi="宋体" w:cs="黑体"/>
          <w:b/>
          <w:sz w:val="21"/>
          <w:szCs w:val="21"/>
        </w:rPr>
        <w:t>投资者个人信息授权</w:t>
      </w:r>
    </w:p>
    <w:p>
      <w:pPr>
        <w:pStyle w:val="10"/>
        <w:widowControl/>
        <w:spacing w:line="360" w:lineRule="auto"/>
        <w:ind w:firstLine="422" w:firstLineChars="200"/>
        <w:rPr>
          <w:rFonts w:ascii="宋体" w:hAnsi="宋体" w:cs="黑体"/>
          <w:b/>
          <w:sz w:val="21"/>
          <w:szCs w:val="21"/>
        </w:rPr>
      </w:pPr>
      <w:r>
        <w:rPr>
          <w:rFonts w:hint="eastAsia" w:ascii="宋体" w:hAnsi="宋体" w:cs="黑体"/>
          <w:b/>
          <w:sz w:val="21"/>
          <w:szCs w:val="21"/>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pStyle w:val="10"/>
        <w:widowControl/>
        <w:spacing w:line="360" w:lineRule="auto"/>
        <w:ind w:firstLine="422" w:firstLineChars="200"/>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代理销售机构的权利与义务</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b/>
          <w:sz w:val="21"/>
          <w:szCs w:val="21"/>
        </w:rPr>
        <w:t>代理销售机构非本计划的发行、管理机构，对本计划的业绩不承担任何保证和其他经济责任，不承担本计划的投资、兑付和风险管理责任</w:t>
      </w:r>
      <w:r>
        <w:rPr>
          <w:rFonts w:hint="eastAsia" w:ascii="宋体" w:hAnsi="宋体" w:cs="黑体"/>
          <w:sz w:val="21"/>
          <w:szCs w:val="21"/>
        </w:rPr>
        <w:t>。</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代理销售机构应定期对购买其代理销售的理财计划的非机构投资者进行有效风险承受能力评估，并保证向投资者推介及销售与其风险承受能力匹配的产品。</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代理销售机构应建立健全上岗资格、持续培训、信息公示与查询核实等制度并有效执行。未经代理销售机构进行上岗资格认定并签订劳动合同，任何人员不得从事理财计划销售业务活动。</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代理销售机构应对所有销售人员信息进行登记和公示。销售人员在向投资者宣传销售理财计划前进行自我介绍并告知信息查询和核实渠道，便于投资者查询核实，防止伪冒身份和虚假宣传。</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代理销售机构对投资者负有信息保密义务，未经投资者书面许可，乙方不得向任何组织、个人提供或泄露与甲方有关的业务资料及信息，但法律、法规另有规定的除外。</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代理销售机构应按照法律法规、监管规定、理财计划合同的约定收取销售费用，并如实核算、记账。未经载明，不得对不同投资者适用不同费率。</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理财计划销售结算资金属于理财计划投资者，代理销售机构不得挪用理财计划销售结算资金或将理财计划销售结算资金归入自有资产。</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代理销售机构应遵守相关法律、法规、监管规定及理财计划合同约定，诚实守信、勤勉尽责，向购买理财计划的投资者充分传递管理人披露的产品相关信息并进行充分的风险揭示。</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代理销售机构应当充分利用科技手段，加强对伪冒网站、伪冒产品等监测，有效防范各类欺诈风险。</w:t>
      </w:r>
    </w:p>
    <w:p>
      <w:pPr>
        <w:pStyle w:val="10"/>
        <w:widowControl/>
        <w:autoSpaceDE w:val="0"/>
        <w:spacing w:line="360" w:lineRule="auto"/>
        <w:ind w:left="482"/>
        <w:contextualSpacing/>
        <w:jc w:val="left"/>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理财计划认（申）购、赎回及终止</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理财计划认/申购办理流程：参照投资者权益须知约定。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理财计划认/申购确认：管理人根据代理销售渠道提供的交易信息及资金划付对投资者相应认/申购进行确认。</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理财计划投资品种、投资起点金额、收益支付方式：参照对应期次的理财计划产品说明书中的条款约定。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pStyle w:val="10"/>
        <w:widowControl/>
        <w:autoSpaceDE w:val="0"/>
        <w:spacing w:line="360" w:lineRule="auto"/>
        <w:ind w:left="178" w:leftChars="85"/>
        <w:contextualSpacing/>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违约责任及免责条款</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若由于代理销售机构过错导致理财计划资产发生损失，代理销售机构应按其过错承担赔偿责任，代理销售机构赔偿的款项计入理财计划的资产和收益。</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因国家有关法律、法规、规章、政策的修改或新的法律、法规、规章、政策颁布以及紧急措施的出台导致的风险及损失，代理销售机构不承担责任。</w:t>
      </w:r>
    </w:p>
    <w:p>
      <w:pPr>
        <w:pStyle w:val="10"/>
        <w:widowControl/>
        <w:autoSpaceDE w:val="0"/>
        <w:spacing w:line="360" w:lineRule="auto"/>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适用法律与争议解决</w:t>
      </w:r>
    </w:p>
    <w:p>
      <w:pPr>
        <w:pStyle w:val="10"/>
        <w:widowControl/>
        <w:autoSpaceDE w:val="0"/>
        <w:spacing w:line="360" w:lineRule="auto"/>
        <w:ind w:firstLine="420" w:firstLineChars="200"/>
        <w:rPr>
          <w:rFonts w:ascii="宋体" w:hAnsi="宋体" w:cs="黑体"/>
          <w:sz w:val="21"/>
          <w:szCs w:val="21"/>
        </w:rPr>
      </w:pPr>
      <w:r>
        <w:rPr>
          <w:rFonts w:hint="eastAsia" w:ascii="宋体" w:hAnsi="宋体" w:cs="黑体"/>
          <w:sz w:val="21"/>
          <w:szCs w:val="21"/>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pStyle w:val="10"/>
        <w:widowControl/>
        <w:autoSpaceDE w:val="0"/>
        <w:spacing w:line="360" w:lineRule="auto"/>
        <w:ind w:firstLine="422" w:firstLineChars="200"/>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协议生效和终止</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 xml:space="preserve">投资者和代理销售机构双方认可本协议可以纸质或电子数据等形式提交、订立或确认。 </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 xml:space="preserve">本协议书以纸质书面形式订立的，自投资者签字和代理销售机构签章之后立即生效。协议一式叁份，投资者、管理人和代理销售机构各执壹份，具有同等法律效力。 </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投资者和代理销售机构双方在本协议及对应期次的理财计划产品说明书项下权利义务履行完毕之日，本协议自动终止。</w:t>
      </w:r>
    </w:p>
    <w:p>
      <w:pPr>
        <w:pStyle w:val="10"/>
        <w:widowControl/>
        <w:autoSpaceDE w:val="0"/>
        <w:spacing w:line="360" w:lineRule="auto"/>
        <w:ind w:left="420"/>
        <w:contextualSpacing/>
        <w:rPr>
          <w:rFonts w:ascii="宋体" w:hAnsi="宋体" w:cs="黑体"/>
          <w:sz w:val="21"/>
          <w:szCs w:val="21"/>
        </w:rPr>
      </w:pPr>
    </w:p>
    <w:p>
      <w:pPr>
        <w:widowControl/>
        <w:numPr>
          <w:ilvl w:val="0"/>
          <w:numId w:val="33"/>
        </w:numPr>
        <w:autoSpaceDE w:val="0"/>
        <w:spacing w:line="360" w:lineRule="auto"/>
        <w:ind w:firstLine="422" w:firstLineChars="200"/>
        <w:rPr>
          <w:rFonts w:ascii="宋体" w:hAnsi="宋体"/>
          <w:b/>
          <w:sz w:val="21"/>
        </w:rPr>
      </w:pPr>
      <w:r>
        <w:rPr>
          <w:rFonts w:hint="eastAsia" w:ascii="宋体" w:hAnsi="宋体"/>
          <w:b/>
          <w:sz w:val="21"/>
        </w:rPr>
        <w:t xml:space="preserve">附则 </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如果由于任何原因使本合同下的任何条款或内容成为无效或被依法撤销，本合同其他条款或内容的合法性、有效性和可执行性不受影响。</w:t>
      </w:r>
    </w:p>
    <w:p>
      <w:pPr>
        <w:pStyle w:val="10"/>
        <w:widowControl/>
        <w:numPr>
          <w:ilvl w:val="0"/>
          <w:numId w:val="39"/>
        </w:numPr>
        <w:autoSpaceDE w:val="0"/>
        <w:spacing w:line="360" w:lineRule="auto"/>
        <w:contextualSpacing/>
        <w:rPr>
          <w:rFonts w:ascii="宋体" w:hAnsi="宋体" w:cs="宋体"/>
          <w:sz w:val="21"/>
          <w:szCs w:val="21"/>
        </w:rPr>
      </w:pPr>
      <w:r>
        <w:rPr>
          <w:rFonts w:hint="eastAsia" w:ascii="宋体" w:hAnsi="宋体" w:cs="黑体"/>
          <w:sz w:val="21"/>
          <w:szCs w:val="21"/>
        </w:rPr>
        <w:t>在理财计划存续期内，如因监管政策或法律法规发生变化，在不损害投资者利益的前提下，管理人有权单方对理财计划合同销售文件进行修订。</w:t>
      </w:r>
    </w:p>
    <w:p>
      <w:pPr>
        <w:pStyle w:val="10"/>
        <w:widowControl/>
        <w:tabs>
          <w:tab w:val="left" w:pos="0"/>
        </w:tabs>
        <w:autoSpaceDE w:val="0"/>
        <w:spacing w:line="360" w:lineRule="auto"/>
        <w:ind w:left="420"/>
        <w:contextualSpacing/>
        <w:rPr>
          <w:rFonts w:ascii="宋体" w:hAnsi="宋体" w:cs="宋体"/>
          <w:sz w:val="21"/>
          <w:szCs w:val="21"/>
        </w:rPr>
      </w:pPr>
    </w:p>
    <w:p>
      <w:pPr>
        <w:widowControl/>
        <w:spacing w:line="360" w:lineRule="auto"/>
        <w:jc w:val="right"/>
        <w:rPr>
          <w:rFonts w:ascii="宋体" w:hAnsi="宋体" w:cs="宋体"/>
          <w:color w:val="000000"/>
          <w:kern w:val="0"/>
          <w:sz w:val="21"/>
        </w:rPr>
      </w:pPr>
      <w:r>
        <w:rPr>
          <w:rFonts w:hint="eastAsia" w:ascii="宋体" w:hAnsi="宋体" w:cs="宋体"/>
          <w:kern w:val="0"/>
          <w:sz w:val="21"/>
        </w:rPr>
        <w:t>杭银理财有限责任公司</w:t>
      </w:r>
    </w:p>
    <w:p>
      <w:pPr>
        <w:spacing w:line="360" w:lineRule="auto"/>
        <w:rPr>
          <w:rFonts w:ascii="宋体" w:hAnsi="宋体"/>
          <w:sz w:val="21"/>
        </w:rPr>
      </w:pPr>
      <w:r>
        <w:rPr>
          <w:rFonts w:hint="eastAsia" w:ascii="宋体" w:hAnsi="宋体" w:cs="Times New Roman"/>
          <w:color w:val="000000"/>
          <w:sz w:val="21"/>
        </w:rPr>
        <w:br w:type="page"/>
      </w:r>
      <w:r>
        <w:rPr>
          <w:rFonts w:hint="eastAsia" w:ascii="宋体" w:hAnsi="宋体"/>
          <w:sz w:val="21"/>
        </w:rPr>
        <w:t>本页为纸质形式（如有）销售协议书签章页</w:t>
      </w: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rFonts w:ascii="宋体" w:hAnsi="宋体"/>
          <w:b/>
          <w:sz w:val="21"/>
        </w:rPr>
      </w:pPr>
      <w:r>
        <w:rPr>
          <w:rFonts w:hint="eastAsia" w:ascii="宋体" w:hAnsi="宋体"/>
          <w:b/>
          <w:sz w:val="21"/>
        </w:rPr>
        <w:t>投资者（签字）：</w:t>
      </w:r>
    </w:p>
    <w:p>
      <w:pPr>
        <w:spacing w:beforeLines="50" w:afterLines="50" w:line="360" w:lineRule="auto"/>
        <w:ind w:firstLine="4200" w:firstLineChars="2000"/>
        <w:jc w:val="right"/>
        <w:rPr>
          <w:rFonts w:ascii="Arial" w:hAnsi="Arial" w:cs="Times New Roman"/>
          <w:sz w:val="21"/>
        </w:rPr>
      </w:pPr>
      <w:r>
        <w:rPr>
          <w:rFonts w:hint="eastAsia" w:ascii="Arial" w:hAnsi="Arial" w:cs="宋体"/>
          <w:sz w:val="21"/>
        </w:rPr>
        <w:t>年    月   日</w:t>
      </w: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r>
        <w:rPr>
          <w:rFonts w:hint="eastAsia" w:ascii="宋体" w:hAnsi="宋体"/>
          <w:b/>
          <w:sz w:val="21"/>
        </w:rPr>
        <w:t>代理销售机构签章：</w:t>
      </w:r>
    </w:p>
    <w:p>
      <w:pPr>
        <w:spacing w:line="360" w:lineRule="auto"/>
        <w:rPr>
          <w:rFonts w:ascii="宋体" w:hAnsi="宋体"/>
          <w:b/>
          <w:sz w:val="21"/>
        </w:rPr>
      </w:pPr>
    </w:p>
    <w:p>
      <w:pPr>
        <w:spacing w:line="360" w:lineRule="auto"/>
        <w:rPr>
          <w:rFonts w:ascii="宋体" w:hAnsi="宋体"/>
          <w:b/>
          <w:sz w:val="21"/>
        </w:rPr>
      </w:pPr>
    </w:p>
    <w:p>
      <w:pPr>
        <w:spacing w:line="520" w:lineRule="exact"/>
        <w:ind w:firstLine="424" w:firstLineChars="202"/>
        <w:rPr>
          <w:rFonts w:hint="eastAsia" w:ascii="宋体" w:hAnsi="Wingdings" w:cs="宋体"/>
          <w:color w:val="000000"/>
          <w:kern w:val="0"/>
        </w:rPr>
      </w:pPr>
      <w:r>
        <w:rPr>
          <w:rFonts w:hint="eastAsia" w:ascii="Arial" w:hAnsi="Arial" w:cs="宋体"/>
          <w:sz w:val="21"/>
        </w:rPr>
        <w:t>年    月   日</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06F53F"/>
    <w:multiLevelType w:val="multilevel"/>
    <w:tmpl w:val="AC06F53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3339662"/>
    <w:multiLevelType w:val="multilevel"/>
    <w:tmpl w:val="B3339662"/>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F3DD4737"/>
    <w:multiLevelType w:val="multilevel"/>
    <w:tmpl w:val="F3DD4737"/>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72BC498"/>
    <w:multiLevelType w:val="multilevel"/>
    <w:tmpl w:val="F72BC498"/>
    <w:lvl w:ilvl="0" w:tentative="0">
      <w:start w:val="1"/>
      <w:numFmt w:val="chineseCounting"/>
      <w:suff w:val="space"/>
      <w:lvlText w:val="第%1条"/>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6247AAE"/>
    <w:multiLevelType w:val="multilevel"/>
    <w:tmpl w:val="06247AAE"/>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47E51E6"/>
    <w:multiLevelType w:val="multilevel"/>
    <w:tmpl w:val="147E51E6"/>
    <w:lvl w:ilvl="0" w:tentative="0">
      <w:start w:val="1"/>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6713138"/>
    <w:multiLevelType w:val="multilevel"/>
    <w:tmpl w:val="16713138"/>
    <w:lvl w:ilvl="0" w:tentative="0">
      <w:start w:val="3"/>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2">
    <w:nsid w:val="1A14F15A"/>
    <w:multiLevelType w:val="multilevel"/>
    <w:tmpl w:val="1A14F15A"/>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1B720CFF"/>
    <w:multiLevelType w:val="multilevel"/>
    <w:tmpl w:val="1B720CFF"/>
    <w:lvl w:ilvl="0" w:tentative="0">
      <w:start w:val="2"/>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5">
    <w:nsid w:val="22961531"/>
    <w:multiLevelType w:val="multilevel"/>
    <w:tmpl w:val="22961531"/>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0">
    <w:nsid w:val="2FC8541D"/>
    <w:multiLevelType w:val="multilevel"/>
    <w:tmpl w:val="2FC8541D"/>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335C0F0E"/>
    <w:multiLevelType w:val="multilevel"/>
    <w:tmpl w:val="335C0F0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356478AA"/>
    <w:multiLevelType w:val="multilevel"/>
    <w:tmpl w:val="356478AA"/>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31AE820"/>
    <w:multiLevelType w:val="multilevel"/>
    <w:tmpl w:val="531AE820"/>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5404F3FF"/>
    <w:multiLevelType w:val="singleLevel"/>
    <w:tmpl w:val="5404F3FF"/>
    <w:lvl w:ilvl="0" w:tentative="0">
      <w:start w:val="1"/>
      <w:numFmt w:val="chineseCounting"/>
      <w:suff w:val="nothing"/>
      <w:lvlText w:val="（%1）"/>
      <w:lvlJc w:val="left"/>
      <w:rPr>
        <w:rFonts w:hint="eastAsia"/>
      </w:rPr>
    </w:lvl>
  </w:abstractNum>
  <w:abstractNum w:abstractNumId="27">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9">
    <w:nsid w:val="579E11A2"/>
    <w:multiLevelType w:val="multilevel"/>
    <w:tmpl w:val="579E11A2"/>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5B87B9D3"/>
    <w:multiLevelType w:val="singleLevel"/>
    <w:tmpl w:val="5B87B9D3"/>
    <w:lvl w:ilvl="0" w:tentative="0">
      <w:start w:val="4"/>
      <w:numFmt w:val="chineseCounting"/>
      <w:suff w:val="nothing"/>
      <w:lvlText w:val="（%1）"/>
      <w:lvlJc w:val="left"/>
    </w:lvl>
  </w:abstractNum>
  <w:abstractNum w:abstractNumId="31">
    <w:nsid w:val="68F71E4A"/>
    <w:multiLevelType w:val="multilevel"/>
    <w:tmpl w:val="68F71E4A"/>
    <w:lvl w:ilvl="0" w:tentative="0">
      <w:start w:val="4"/>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6FD4618F"/>
    <w:multiLevelType w:val="multilevel"/>
    <w:tmpl w:val="6FD4618F"/>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00C5828"/>
    <w:multiLevelType w:val="multilevel"/>
    <w:tmpl w:val="700C5828"/>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3C633A9"/>
    <w:multiLevelType w:val="multilevel"/>
    <w:tmpl w:val="73C633A9"/>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78117D03"/>
    <w:multiLevelType w:val="multilevel"/>
    <w:tmpl w:val="78117D03"/>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8">
    <w:nsid w:val="7FBE672B"/>
    <w:multiLevelType w:val="multilevel"/>
    <w:tmpl w:val="7FBE672B"/>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4"/>
  </w:num>
  <w:num w:numId="2">
    <w:abstractNumId w:val="30"/>
  </w:num>
  <w:num w:numId="3">
    <w:abstractNumId w:val="33"/>
  </w:num>
  <w:num w:numId="4">
    <w:abstractNumId w:val="23"/>
  </w:num>
  <w:num w:numId="5">
    <w:abstractNumId w:val="8"/>
  </w:num>
  <w:num w:numId="6">
    <w:abstractNumId w:val="5"/>
  </w:num>
  <w:num w:numId="7">
    <w:abstractNumId w:val="18"/>
  </w:num>
  <w:num w:numId="8">
    <w:abstractNumId w:val="7"/>
  </w:num>
  <w:num w:numId="9">
    <w:abstractNumId w:val="17"/>
  </w:num>
  <w:num w:numId="10">
    <w:abstractNumId w:val="19"/>
  </w:num>
  <w:num w:numId="11">
    <w:abstractNumId w:val="37"/>
  </w:num>
  <w:num w:numId="12">
    <w:abstractNumId w:val="11"/>
  </w:num>
  <w:num w:numId="13">
    <w:abstractNumId w:val="27"/>
  </w:num>
  <w:num w:numId="14">
    <w:abstractNumId w:val="28"/>
  </w:num>
  <w:num w:numId="15">
    <w:abstractNumId w:val="14"/>
  </w:num>
  <w:num w:numId="16">
    <w:abstractNumId w:val="2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
  </w:num>
  <w:num w:numId="35">
    <w:abstractNumId w:val="0"/>
  </w:num>
  <w:num w:numId="36">
    <w:abstractNumId w:val="25"/>
  </w:num>
  <w:num w:numId="37">
    <w:abstractNumId w:val="2"/>
  </w:num>
  <w:num w:numId="38">
    <w:abstractNumId w:val="1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FB1F32"/>
    <w:rsid w:val="022F10A0"/>
    <w:rsid w:val="02C57AC3"/>
    <w:rsid w:val="038269B5"/>
    <w:rsid w:val="04CD156A"/>
    <w:rsid w:val="05E21D7D"/>
    <w:rsid w:val="060615E0"/>
    <w:rsid w:val="07EB4709"/>
    <w:rsid w:val="09AC6127"/>
    <w:rsid w:val="0A7B766E"/>
    <w:rsid w:val="0B7A25E3"/>
    <w:rsid w:val="0F0043BB"/>
    <w:rsid w:val="105435D8"/>
    <w:rsid w:val="13842138"/>
    <w:rsid w:val="155D0FAE"/>
    <w:rsid w:val="15DD3C7D"/>
    <w:rsid w:val="194950A1"/>
    <w:rsid w:val="1AE17164"/>
    <w:rsid w:val="1B8B2D6E"/>
    <w:rsid w:val="1D4B4659"/>
    <w:rsid w:val="1DA941EB"/>
    <w:rsid w:val="21AE43C0"/>
    <w:rsid w:val="24A25592"/>
    <w:rsid w:val="24B6088C"/>
    <w:rsid w:val="27660D0E"/>
    <w:rsid w:val="28FB441D"/>
    <w:rsid w:val="29526849"/>
    <w:rsid w:val="29E37A3B"/>
    <w:rsid w:val="2CF11704"/>
    <w:rsid w:val="2D45719C"/>
    <w:rsid w:val="2DEC75F3"/>
    <w:rsid w:val="2E0B2CD2"/>
    <w:rsid w:val="2E93070A"/>
    <w:rsid w:val="30E90FE8"/>
    <w:rsid w:val="32C55323"/>
    <w:rsid w:val="35892A55"/>
    <w:rsid w:val="38C9543A"/>
    <w:rsid w:val="3A4C12C1"/>
    <w:rsid w:val="3BA24BB0"/>
    <w:rsid w:val="3F246D23"/>
    <w:rsid w:val="3FCB3B1C"/>
    <w:rsid w:val="3FF86290"/>
    <w:rsid w:val="41446C51"/>
    <w:rsid w:val="42BE4943"/>
    <w:rsid w:val="433D1B9E"/>
    <w:rsid w:val="44421B2F"/>
    <w:rsid w:val="45111D82"/>
    <w:rsid w:val="45911582"/>
    <w:rsid w:val="481B099C"/>
    <w:rsid w:val="4ACA4F6B"/>
    <w:rsid w:val="50B01C04"/>
    <w:rsid w:val="50DD7DA0"/>
    <w:rsid w:val="510826B2"/>
    <w:rsid w:val="513E4D52"/>
    <w:rsid w:val="52EC289B"/>
    <w:rsid w:val="57B974E6"/>
    <w:rsid w:val="5A726ACA"/>
    <w:rsid w:val="5A8903AA"/>
    <w:rsid w:val="5BA072DA"/>
    <w:rsid w:val="5BE91D19"/>
    <w:rsid w:val="5CEF711D"/>
    <w:rsid w:val="5D8C0A23"/>
    <w:rsid w:val="5E7332FD"/>
    <w:rsid w:val="62C16DB1"/>
    <w:rsid w:val="64EA430A"/>
    <w:rsid w:val="68AD3C29"/>
    <w:rsid w:val="6BB97DF1"/>
    <w:rsid w:val="6BE12EF7"/>
    <w:rsid w:val="6C361A89"/>
    <w:rsid w:val="6C6A476A"/>
    <w:rsid w:val="6CFB1020"/>
    <w:rsid w:val="6E05628E"/>
    <w:rsid w:val="6EB06FA0"/>
    <w:rsid w:val="71D702F4"/>
    <w:rsid w:val="71E47495"/>
    <w:rsid w:val="73277265"/>
    <w:rsid w:val="73E23960"/>
    <w:rsid w:val="78E860BE"/>
    <w:rsid w:val="7A5C4717"/>
    <w:rsid w:val="7B69328D"/>
    <w:rsid w:val="7C1927D1"/>
    <w:rsid w:val="7D213B6C"/>
    <w:rsid w:val="7DCF3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20</Pages>
  <Words>2564</Words>
  <Characters>14621</Characters>
  <Lines>121</Lines>
  <Paragraphs>34</Paragraphs>
  <TotalTime>0</TotalTime>
  <ScaleCrop>false</ScaleCrop>
  <LinksUpToDate>false</LinksUpToDate>
  <CharactersWithSpaces>17151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马巧燕</cp:lastModifiedBy>
  <cp:lastPrinted>2020-04-15T04:53:00Z</cp:lastPrinted>
  <dcterms:modified xsi:type="dcterms:W3CDTF">2022-05-07T10:50:02Z</dcterms:modified>
  <dc:title>“幸福99”双季添益银行理财计划风险揭示书</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