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您应仔细阅读理财产品风险揭示书、理财产品说明书、投资者权益须知、理财计划投资协议书、理财计划销售协议书全部条款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代销风险：本理财产品通过代销渠道销售，投资者购买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八）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（本风险等级为本公司内部风险评级结果，仅供参考，本公司不对前述风险评级结果的准确性做出任何形式的保证，也不承担任何法律责任。</w:t>
      </w:r>
      <w:r>
        <w:rPr>
          <w:rFonts w:hint="eastAsia" w:ascii="宋体" w:hAnsi="宋体" w:cs="宋体"/>
          <w:color w:val="333333"/>
          <w:shd w:val="clear" w:color="auto"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季添益理财计划产品说明书》、《杭银理财理财计划投资协议书》、《杭银理财理财计划销售协议书》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季添益理财计划产品说明书》、《杭银理财理财计划投资协议书》、《杭银理财理财计划销售协议书》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rPr>
          <w:rFonts w:ascii="宋体" w:hAnsi="宋体" w:cs="宋体"/>
          <w:kern w:val="0"/>
        </w:rPr>
      </w:pPr>
    </w:p>
    <w:p>
      <w:pPr>
        <w:rPr>
          <w:rFonts w:ascii="宋体" w:hAnsi="宋体" w:cs="宋体"/>
          <w:kern w:val="0"/>
        </w:rPr>
      </w:pP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99季</w:t>
      </w:r>
      <w:r>
        <w:rPr>
          <w:rFonts w:hint="eastAsia" w:cs="宋体"/>
          <w:b/>
          <w:bCs/>
          <w:sz w:val="32"/>
          <w:szCs w:val="32"/>
        </w:rPr>
        <w:t>添益1903期理财计划产品说明书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Z70022210002</w:t>
      </w:r>
      <w:r>
        <w:rPr>
          <w:rFonts w:hint="eastAsia" w:ascii="宋体" w:hAnsi="Wingdings" w:cs="宋体"/>
          <w:color w:val="000000"/>
          <w:kern w:val="0"/>
        </w:rPr>
        <w:t>74</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购买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投资者在购买本产品后，应随时关注本产品的信息披露情况，及时获取相关信息。如对本产品有任何疑问、异议或意见，请联系管理人或销售机构。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投资者承诺其用于购买理财计划的资金来源合法合规，不存在使用贷款、发行债券等筹集的非自有资金投资本理财产品的情形。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杭银理财幸福99季添益1903期理财计划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季添益1903期理财计划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该产品在全国银行业理财信息登记系统的原登记编码是C1092019000691，</w:t>
            </w:r>
            <w:r>
              <w:rPr>
                <w:rFonts w:hint="eastAsia" w:ascii="宋体" w:hAnsi="宋体" w:cs="宋体"/>
              </w:rPr>
              <w:t>变更登记后为〖</w:t>
            </w:r>
            <w:r>
              <w:rPr>
                <w:rFonts w:ascii="宋体" w:hAnsi="宋体" w:cs="宋体"/>
              </w:rPr>
              <w:t>Z70022210002</w:t>
            </w:r>
            <w:r>
              <w:rPr>
                <w:rFonts w:hint="eastAsia" w:ascii="宋体" w:hAnsi="宋体" w:cs="宋体"/>
              </w:rPr>
              <w:t>74〗。</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p>
            <w:pPr>
              <w:widowControl/>
              <w:spacing w:line="300" w:lineRule="auto"/>
              <w:contextualSpacing/>
              <w:rPr>
                <w:rFonts w:ascii="宋体" w:hAnsi="宋体"/>
                <w:color w:val="000000"/>
              </w:rPr>
            </w:pPr>
            <w:r>
              <w:rPr>
                <w:rFonts w:hint="eastAsia" w:ascii="宋体" w:hAnsi="宋体"/>
                <w:color w:val="000000"/>
              </w:rPr>
              <w:t>A份额（销售代码【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3M1903</w:t>
            </w:r>
            <w:r>
              <w:rPr>
                <w:rFonts w:hint="eastAsia" w:ascii="宋体" w:hAnsi="宋体"/>
                <w:color w:val="000000"/>
              </w:rPr>
              <w:t>】</w:t>
            </w:r>
            <w:r>
              <w:rPr>
                <w:rFonts w:ascii="宋体" w:hAnsi="宋体"/>
                <w:color w:val="000000"/>
              </w:rPr>
              <w:t>）</w:t>
            </w:r>
            <w:r>
              <w:rPr>
                <w:rFonts w:hint="eastAsia" w:ascii="宋体" w:hAnsi="宋体"/>
                <w:color w:val="000000"/>
              </w:rPr>
              <w:t>：</w:t>
            </w:r>
            <w:r>
              <w:rPr>
                <w:rFonts w:ascii="宋体" w:hAnsi="宋体"/>
                <w:color w:val="000000"/>
              </w:rPr>
              <w:t>普通</w:t>
            </w:r>
            <w:r>
              <w:rPr>
                <w:rFonts w:hint="eastAsia" w:ascii="宋体" w:hAnsi="宋体"/>
                <w:color w:val="000000"/>
              </w:rPr>
              <w:t>个人投资者和机构客户。</w:t>
            </w:r>
          </w:p>
          <w:p>
            <w:pPr>
              <w:rPr>
                <w:rFonts w:ascii="宋体" w:hAnsi="宋体" w:cs="宋体"/>
                <w:color w:val="000000"/>
                <w:kern w:val="0"/>
              </w:rPr>
            </w:pPr>
            <w:r>
              <w:rPr>
                <w:rFonts w:hint="eastAsia" w:ascii="宋体" w:hAnsi="宋体"/>
                <w:color w:val="000000"/>
              </w:rPr>
              <w:t>B份额（销售代码【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3M1903B</w:t>
            </w:r>
            <w:r>
              <w:rPr>
                <w:rFonts w:hint="eastAsia" w:ascii="宋体" w:hAnsi="宋体"/>
                <w:color w:val="000000"/>
              </w:rPr>
              <w:t>】）：高净值等特邀客户专属</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规模下限为0.2亿元，产品规模上限在每个开放期进行调整，首次认购期规模上限为12亿元。若认购金额未达规模下限则管理人有权决定产品不成立，若认购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2019年6月5日至2019年6月11日。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A份额：首次认购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r>
              <w:rPr>
                <w:rFonts w:hint="eastAsia" w:ascii="宋体" w:hAnsi="宋体"/>
                <w:color w:val="000000"/>
              </w:rPr>
              <w:t>（具体以代销机构销售要素为准）</w:t>
            </w:r>
          </w:p>
          <w:p>
            <w:pPr>
              <w:rPr>
                <w:rFonts w:ascii="宋体" w:hAnsi="宋体" w:cs="宋体"/>
                <w:color w:val="000000"/>
                <w:kern w:val="0"/>
              </w:rPr>
            </w:pPr>
            <w:r>
              <w:rPr>
                <w:rFonts w:hint="eastAsia" w:ascii="宋体" w:hAnsi="宋体" w:cs="宋体"/>
                <w:color w:val="000000"/>
                <w:kern w:val="0"/>
              </w:rPr>
              <w:t>B份额：首次认购</w:t>
            </w:r>
            <w:r>
              <w:rPr>
                <w:rFonts w:ascii="宋体" w:hAnsi="宋体" w:cs="宋体"/>
                <w:color w:val="000000"/>
                <w:kern w:val="0"/>
              </w:rPr>
              <w:t>/</w:t>
            </w:r>
            <w:r>
              <w:rPr>
                <w:rFonts w:hint="eastAsia" w:ascii="宋体" w:hAnsi="宋体" w:cs="宋体"/>
                <w:color w:val="000000"/>
                <w:kern w:val="0"/>
              </w:rPr>
              <w:t>申购起点金额20万元整，超过起点部分，应为1元的整数倍。</w:t>
            </w:r>
            <w:r>
              <w:rPr>
                <w:rFonts w:hint="eastAsia" w:ascii="宋体" w:hAnsi="宋体"/>
                <w:color w:val="000000"/>
              </w:rPr>
              <w:t>（具体以代销机构销售要素为准）</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2019年6月12日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产品每三个月开放一次。开放期为产品确认日前5-7个工作日，具体开放时间以公告为准，开放期公告将通过管理人或者销售机构网站发布。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首次开放期为2019年9月5日至2019年9月11日，首个确认日为2019年9月12日。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rPr>
              <w:t>2.7%。</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ascii="宋体" w:hAnsi="宋体" w:cs="宋体"/>
                <w:color w:val="000000"/>
                <w:kern w:val="0"/>
              </w:rPr>
            </w:pPr>
            <w:r>
              <w:rPr>
                <w:rFonts w:hint="eastAsia" w:ascii="宋体" w:hAnsi="宋体" w:cs="宋体"/>
                <w:color w:val="333333"/>
                <w:shd w:val="clear" w:color="auto"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份的价格认购本理财产品，投资者首次购买A份额的最低金额为1元，超出部分应为1元的整数倍；首次购买B份额的最低金额为20万元，超出部分应为1元的整数倍。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确认日前一日的单位净值。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赎回份额×确认日前一日的单位净值。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rPr>
                <w:rFonts w:ascii="宋体" w:hAnsi="宋体" w:cs="宋体"/>
                <w:color w:val="000000"/>
                <w:kern w:val="0"/>
              </w:rPr>
            </w:pPr>
            <w:r>
              <w:rPr>
                <w:rFonts w:hint="eastAsia" w:ascii="宋体" w:hAnsi="宋体" w:cs="宋体"/>
                <w:color w:val="000000"/>
                <w:kern w:val="0"/>
              </w:rPr>
              <w:t>销售服务费，每日计提。</w:t>
            </w:r>
          </w:p>
          <w:p>
            <w:pPr>
              <w:numPr>
                <w:ilvl w:val="255"/>
                <w:numId w:val="0"/>
              </w:numPr>
              <w:rPr>
                <w:rFonts w:ascii="宋体" w:hAnsi="宋体" w:cs="宋体"/>
                <w:color w:val="000000"/>
                <w:kern w:val="0"/>
              </w:rPr>
            </w:pPr>
            <w:r>
              <w:rPr>
                <w:rFonts w:hint="eastAsia" w:ascii="宋体" w:hAnsi="宋体" w:cs="宋体"/>
                <w:color w:val="000000"/>
                <w:kern w:val="0"/>
              </w:rPr>
              <w:t>A份额：收取年化0.2</w:t>
            </w:r>
            <w:r>
              <w:rPr>
                <w:rFonts w:ascii="宋体" w:hAnsi="宋体" w:cs="宋体"/>
                <w:color w:val="000000"/>
                <w:kern w:val="0"/>
              </w:rPr>
              <w:t>%</w:t>
            </w:r>
            <w:r>
              <w:rPr>
                <w:rFonts w:hint="eastAsia" w:ascii="宋体" w:hAnsi="宋体" w:cs="宋体"/>
                <w:color w:val="000000"/>
                <w:kern w:val="0"/>
              </w:rPr>
              <w:t>的销售服务费。</w:t>
            </w:r>
          </w:p>
          <w:p>
            <w:pPr>
              <w:numPr>
                <w:ilvl w:val="255"/>
                <w:numId w:val="0"/>
              </w:numPr>
              <w:rPr>
                <w:rFonts w:ascii="宋体" w:hAnsi="宋体" w:cs="宋体"/>
                <w:color w:val="000000"/>
                <w:kern w:val="0"/>
              </w:rPr>
            </w:pPr>
            <w:r>
              <w:rPr>
                <w:rFonts w:hint="eastAsia" w:ascii="宋体" w:hAnsi="宋体" w:cs="宋体"/>
                <w:color w:val="000000"/>
                <w:kern w:val="0"/>
              </w:rPr>
              <w:t>B份额：收取年化0.1</w:t>
            </w:r>
            <w:r>
              <w:rPr>
                <w:rFonts w:ascii="宋体" w:hAnsi="宋体" w:cs="宋体"/>
                <w:color w:val="000000"/>
                <w:kern w:val="0"/>
              </w:rPr>
              <w:t>%</w:t>
            </w:r>
            <w:r>
              <w:rPr>
                <w:rFonts w:hint="eastAsia" w:ascii="宋体" w:hAnsi="宋体" w:cs="宋体"/>
                <w:color w:val="000000"/>
                <w:kern w:val="0"/>
              </w:rPr>
              <w:t>的销售服务费。</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w:t>
            </w:r>
          </w:p>
          <w:p>
            <w:pPr>
              <w:rPr>
                <w:rFonts w:ascii="宋体" w:hAnsi="宋体" w:cs="宋体"/>
                <w:color w:val="000000"/>
                <w:kern w:val="0"/>
              </w:rPr>
            </w:pPr>
            <w:r>
              <w:rPr>
                <w:rFonts w:hint="eastAsia" w:ascii="宋体" w:hAnsi="宋体" w:cs="宋体"/>
                <w:color w:val="000000"/>
                <w:kern w:val="0"/>
              </w:rPr>
              <w:t>3.固定管理费，每日计提。</w:t>
            </w:r>
          </w:p>
          <w:p>
            <w:pPr>
              <w:rPr>
                <w:rFonts w:ascii="宋体" w:hAnsi="宋体" w:cs="宋体"/>
                <w:color w:val="000000"/>
                <w:kern w:val="0"/>
              </w:rPr>
            </w:pPr>
            <w:r>
              <w:rPr>
                <w:rFonts w:hint="eastAsia" w:ascii="宋体" w:hAnsi="宋体" w:cs="宋体"/>
                <w:color w:val="000000"/>
                <w:kern w:val="0"/>
              </w:rPr>
              <w:t>A份额：收取年化0.4</w:t>
            </w:r>
            <w:r>
              <w:rPr>
                <w:rFonts w:ascii="宋体" w:hAnsi="宋体" w:cs="宋体"/>
                <w:color w:val="000000"/>
                <w:kern w:val="0"/>
              </w:rPr>
              <w:t>%</w:t>
            </w:r>
            <w:r>
              <w:rPr>
                <w:rFonts w:hint="eastAsia" w:ascii="宋体" w:hAnsi="宋体" w:cs="宋体"/>
                <w:color w:val="000000"/>
                <w:kern w:val="0"/>
              </w:rPr>
              <w:t>的固定管理费。</w:t>
            </w:r>
          </w:p>
          <w:p>
            <w:pPr>
              <w:rPr>
                <w:rFonts w:ascii="宋体" w:hAnsi="宋体" w:cs="宋体"/>
                <w:color w:val="000000"/>
                <w:kern w:val="0"/>
              </w:rPr>
            </w:pPr>
            <w:r>
              <w:rPr>
                <w:rFonts w:hint="eastAsia" w:ascii="宋体" w:hAnsi="宋体" w:cs="宋体"/>
                <w:color w:val="000000"/>
                <w:kern w:val="0"/>
              </w:rPr>
              <w:t>B份额：收取年化0.4</w:t>
            </w:r>
            <w:r>
              <w:rPr>
                <w:rFonts w:ascii="宋体" w:hAnsi="宋体" w:cs="宋体"/>
                <w:color w:val="000000"/>
                <w:kern w:val="0"/>
              </w:rPr>
              <w:t>%</w:t>
            </w:r>
            <w:r>
              <w:rPr>
                <w:rFonts w:hint="eastAsia" w:ascii="宋体" w:hAnsi="宋体" w:cs="宋体"/>
                <w:color w:val="000000"/>
                <w:kern w:val="0"/>
              </w:rPr>
              <w:t>的固定管理费。</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360" w:lineRule="auto"/>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3"/>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Layout w:type="fixed"/>
        <w:tblCellMar>
          <w:top w:w="15" w:type="dxa"/>
          <w:left w:w="15" w:type="dxa"/>
          <w:bottom w:w="15" w:type="dxa"/>
          <w:right w:w="15" w:type="dxa"/>
        </w:tblCellMar>
      </w:tblPr>
      <w:tblGrid>
        <w:gridCol w:w="3572"/>
        <w:gridCol w:w="2148"/>
        <w:gridCol w:w="363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numPr>
          <w:ilvl w:val="255"/>
          <w:numId w:val="0"/>
        </w:numPr>
        <w:ind w:firstLine="420" w:firstLineChars="200"/>
        <w:rPr>
          <w:rFonts w:hint="eastAsia" w:ascii="宋体" w:hAnsi="Wingdings" w:cs="Times New Roman"/>
          <w:color w:val="000000"/>
          <w:kern w:val="0"/>
        </w:rPr>
      </w:pPr>
      <w:r>
        <w:rPr>
          <w:rFonts w:hint="eastAsia" w:ascii="宋体" w:hAnsi="Wingdings" w:cs="Times New Roman"/>
          <w:color w:val="000000"/>
          <w:kern w:val="0"/>
        </w:rPr>
        <w:t>1.</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4"/>
        </w:numPr>
        <w:spacing w:line="360" w:lineRule="auto"/>
        <w:ind w:left="420" w:leftChars="200"/>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5"/>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ind w:firstLine="420" w:firstLineChars="200"/>
        <w:rPr>
          <w:rFonts w:hint="eastAsia" w:ascii="宋体" w:cs="宋体"/>
          <w:sz w:val="21"/>
          <w:szCs w:val="21"/>
        </w:rPr>
      </w:pPr>
      <w:r>
        <w:rPr>
          <w:rFonts w:hint="eastAsia" w:ascii="宋体" w:cs="宋体"/>
          <w:sz w:val="21"/>
          <w:szCs w:val="21"/>
        </w:rPr>
        <w:t>3.基金、信托计划、资产管理计划等资产。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255"/>
          <w:numId w:val="0"/>
        </w:numPr>
        <w:spacing w:line="360" w:lineRule="auto"/>
        <w:ind w:firstLine="420" w:firstLineChars="200"/>
        <w:rPr>
          <w:rFonts w:hint="eastAsia" w:ascii="宋体" w:cs="宋体"/>
          <w:sz w:val="21"/>
          <w:szCs w:val="21"/>
        </w:rPr>
      </w:pPr>
      <w:r>
        <w:rPr>
          <w:rFonts w:hint="eastAsia" w:ascii="宋体" w:cs="宋体"/>
          <w:sz w:val="21"/>
          <w:szCs w:val="21"/>
        </w:rPr>
        <w:t>4.在证券交易所上市的股票。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7"/>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理财计划财产A份额的年化销售服务费率为0.2%，B份额的年化销售服务费率为0.1%。以A份额为例，计算方法如下：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H＝E*0.2％/365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rPr>
        <w:t>销售服务费原则上按日计提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理财计划财产A份额的年化固定管理费率为0.4%，B份额的年化固定管理费率为0.4%。以A份额为例，计算方法如下：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H＝E*0.4％/365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H为每日应计提的固定管理费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w:t>
      </w:r>
      <w:r>
        <w:rPr>
          <w:rFonts w:hint="eastAsia" w:ascii="宋体" w:hAnsi="宋体"/>
          <w:color w:val="000000"/>
        </w:rPr>
        <w:t>业绩比较基准上限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R为当前投资周期适用的</w:t>
      </w:r>
      <w:r>
        <w:rPr>
          <w:rFonts w:hint="eastAsia" w:ascii="宋体" w:hAnsi="宋体"/>
          <w:color w:val="000000"/>
        </w:rPr>
        <w:t>业绩比较基准上限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示例一：扣除托管费、固定管理费和销售服务费后，投资收益率超越业绩比较基准上限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上限部分的80%作为浮动管理费，产品业绩比较基准上限为5.60%，期间无分红。赎回时扣除增值税、托管费、销售服务费、固定管理费后，如产品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示例二：扣除托管费、固定管理费和销售服务费后，投资收益率未达到业绩比较基准上限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。赎回时扣除增值税、托管费、销售服务费、固定管理费等各类税费后，</w:t>
      </w:r>
      <w:r>
        <w:rPr>
          <w:rFonts w:hint="eastAsia" w:ascii="宋体" w:hAnsi="宋体"/>
        </w:rPr>
        <w:t>如产品净值为1.0496，此时，(1.0496/1.00-1)×365/362=5.00%&lt;5.60%，即投资收益未达到业绩比较基准上限，则投资管理人不收取浮动管理费，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示例三：扣除托管费、固定管理费和销售服务费后，投资发生亏损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赎回时扣除增值税、托管费、销售服务费、固定管理费等各类税费后，如产品净值为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A份额首次购买的起点金额为1元，追加购买金额必须是1元或1元的整数倍；存续份额不得低于1份；单户持有份额不得超过1亿份；B份额首次购买的起点金额为20万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1"/>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3"/>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5"/>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255"/>
          <w:numId w:val="0"/>
        </w:numPr>
        <w:spacing w:before="0" w:after="0" w:line="520" w:lineRule="exact"/>
        <w:jc w:val="both"/>
        <w:rPr>
          <w:rFonts w:cs="宋体"/>
          <w:sz w:val="28"/>
          <w:szCs w:val="28"/>
        </w:rPr>
      </w:pPr>
      <w:r>
        <w:rPr>
          <w:rFonts w:hint="eastAsia" w:cs="宋体"/>
          <w:sz w:val="28"/>
          <w:szCs w:val="28"/>
        </w:rPr>
        <w:t>十一、合作机构</w:t>
      </w:r>
    </w:p>
    <w:p>
      <w:pPr>
        <w:numPr>
          <w:ilvl w:val="0"/>
          <w:numId w:val="17"/>
        </w:numPr>
        <w:spacing w:line="300" w:lineRule="auto"/>
        <w:ind w:firstLine="424" w:firstLineChars="202"/>
        <w:rPr>
          <w:rFonts w:ascii="宋体" w:hAnsi="宋体" w:cs="宋体"/>
          <w:color w:val="000000"/>
          <w:kern w:val="0"/>
        </w:rPr>
      </w:pPr>
      <w:r>
        <w:rPr>
          <w:rFonts w:hint="eastAsia" w:ascii="宋体" w:hAnsi="宋体" w:cs="宋体"/>
          <w:color w:val="000000"/>
          <w:kern w:val="0"/>
        </w:rPr>
        <w:t>托管人</w:t>
      </w:r>
    </w:p>
    <w:tbl>
      <w:tblPr>
        <w:tblStyle w:val="13"/>
        <w:tblW w:w="903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托管人名称</w:t>
            </w:r>
          </w:p>
        </w:tc>
        <w:tc>
          <w:tcPr>
            <w:tcW w:w="7642" w:type="dxa"/>
          </w:tcPr>
          <w:p>
            <w:pPr>
              <w:spacing w:line="360" w:lineRule="auto"/>
              <w:jc w:val="left"/>
              <w:rPr>
                <w:rFonts w:ascii="宋体" w:hAnsi="宋体" w:cs="宋体"/>
                <w:bCs/>
              </w:rPr>
            </w:pPr>
            <w:r>
              <w:rPr>
                <w:rFonts w:hint="eastAsia" w:ascii="宋体" w:hAnsi="宋体" w:cs="宋体"/>
                <w:bCs/>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托管人住所</w:t>
            </w:r>
          </w:p>
        </w:tc>
        <w:tc>
          <w:tcPr>
            <w:tcW w:w="7642" w:type="dxa"/>
          </w:tcPr>
          <w:p>
            <w:pPr>
              <w:spacing w:line="360" w:lineRule="auto"/>
              <w:jc w:val="left"/>
              <w:rPr>
                <w:rFonts w:ascii="宋体" w:hAnsi="宋体" w:cs="宋体"/>
                <w:bCs/>
              </w:rPr>
            </w:pPr>
            <w:r>
              <w:rPr>
                <w:rFonts w:hint="eastAsia" w:ascii="宋体" w:hAnsi="宋体" w:cs="宋体"/>
                <w:bCs/>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托管人职责</w:t>
            </w:r>
          </w:p>
        </w:tc>
        <w:tc>
          <w:tcPr>
            <w:tcW w:w="7642" w:type="dxa"/>
            <w:vAlign w:val="center"/>
          </w:tcPr>
          <w:p>
            <w:pPr>
              <w:spacing w:line="360" w:lineRule="auto"/>
              <w:rPr>
                <w:rFonts w:ascii="宋体" w:hAnsi="宋体" w:cs="宋体"/>
                <w:bCs/>
              </w:rPr>
            </w:pPr>
            <w:r>
              <w:rPr>
                <w:rFonts w:hint="eastAsia" w:ascii="宋体" w:hAnsi="宋体" w:cs="宋体"/>
                <w:bCs/>
              </w:rPr>
              <w:t>主要提供包括账户开立、资金保管、资金结算、估值核对等理财产品托管服务。</w:t>
            </w:r>
          </w:p>
        </w:tc>
      </w:tr>
    </w:tbl>
    <w:p>
      <w:pPr>
        <w:numPr>
          <w:ilvl w:val="0"/>
          <w:numId w:val="17"/>
        </w:numPr>
        <w:spacing w:line="300" w:lineRule="auto"/>
        <w:ind w:firstLine="424" w:firstLineChars="202"/>
        <w:rPr>
          <w:rFonts w:ascii="宋体" w:hAnsi="宋体" w:cs="宋体"/>
          <w:color w:val="000000"/>
          <w:kern w:val="0"/>
        </w:rPr>
      </w:pPr>
      <w:r>
        <w:rPr>
          <w:rFonts w:hint="eastAsia" w:ascii="宋体" w:hAnsi="宋体"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销售机构信息</w:t>
            </w:r>
          </w:p>
        </w:tc>
        <w:tc>
          <w:tcPr>
            <w:tcW w:w="1688" w:type="dxa"/>
            <w:vMerge w:val="restart"/>
            <w:vAlign w:val="center"/>
          </w:tcPr>
          <w:p>
            <w:pPr>
              <w:widowControl/>
              <w:jc w:val="center"/>
              <w:rPr>
                <w:rFonts w:ascii="宋体" w:hAnsi="宋体" w:cs="宋体"/>
                <w:color w:val="000000"/>
                <w:kern w:val="0"/>
                <w:lang w:bidi="ar"/>
              </w:rPr>
            </w:pPr>
            <w:r>
              <w:rPr>
                <w:rFonts w:hint="eastAsia" w:ascii="宋体" w:hAnsi="宋体" w:cs="宋体"/>
                <w:color w:val="000000"/>
                <w:kern w:val="0"/>
              </w:rPr>
              <w:t>杭州银行股份有限公司</w:t>
            </w:r>
          </w:p>
        </w:tc>
        <w:tc>
          <w:tcPr>
            <w:tcW w:w="1325" w:type="dxa"/>
            <w:vAlign w:val="center"/>
          </w:tcPr>
          <w:p>
            <w:pPr>
              <w:widowControl/>
              <w:jc w:val="center"/>
              <w:rPr>
                <w:rFonts w:ascii="宋体" w:hAnsi="宋体" w:cs="宋体"/>
                <w:color w:val="000000"/>
                <w:kern w:val="0"/>
                <w:lang w:bidi="ar"/>
              </w:rPr>
            </w:pPr>
            <w:r>
              <w:rPr>
                <w:rFonts w:hint="eastAsia" w:ascii="宋体" w:hAnsi="宋体" w:cs="宋体"/>
                <w:color w:val="000000"/>
                <w:kern w:val="0"/>
              </w:rPr>
              <w:t>住所</w:t>
            </w:r>
          </w:p>
        </w:tc>
        <w:tc>
          <w:tcPr>
            <w:tcW w:w="4625" w:type="dxa"/>
            <w:vAlign w:val="center"/>
          </w:tcPr>
          <w:p>
            <w:pPr>
              <w:widowControl/>
              <w:jc w:val="center"/>
              <w:rPr>
                <w:rFonts w:ascii="宋体" w:hAnsi="宋体" w:cs="宋体"/>
                <w:color w:val="000000"/>
                <w:kern w:val="0"/>
                <w:lang w:bidi="ar"/>
              </w:rPr>
            </w:pPr>
            <w:r>
              <w:rPr>
                <w:rFonts w:hint="eastAsia" w:ascii="宋体" w:hAnsi="宋体" w:cs="宋体"/>
                <w:color w:val="000000"/>
                <w:kern w:val="0"/>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widowControl/>
              <w:jc w:val="left"/>
              <w:rPr>
                <w:rFonts w:ascii="宋体" w:hAnsi="宋体" w:cs="宋体"/>
                <w:color w:val="000000"/>
                <w:kern w:val="0"/>
                <w:lang w:bidi="ar"/>
              </w:rPr>
            </w:pPr>
          </w:p>
        </w:tc>
        <w:tc>
          <w:tcPr>
            <w:tcW w:w="1325" w:type="dxa"/>
            <w:vAlign w:val="center"/>
          </w:tcPr>
          <w:p>
            <w:pPr>
              <w:widowControl/>
              <w:jc w:val="center"/>
              <w:rPr>
                <w:rFonts w:ascii="宋体" w:hAnsi="宋体" w:cs="宋体"/>
                <w:color w:val="000000"/>
                <w:kern w:val="0"/>
                <w:lang w:bidi="ar"/>
              </w:rPr>
            </w:pPr>
            <w:r>
              <w:rPr>
                <w:rFonts w:hint="eastAsia" w:ascii="宋体" w:hAnsi="宋体" w:cs="宋体"/>
                <w:color w:val="000000"/>
                <w:kern w:val="0"/>
              </w:rPr>
              <w:t>客服热线</w:t>
            </w:r>
          </w:p>
        </w:tc>
        <w:tc>
          <w:tcPr>
            <w:tcW w:w="4625" w:type="dxa"/>
            <w:vAlign w:val="center"/>
          </w:tcPr>
          <w:p>
            <w:pPr>
              <w:widowControl/>
              <w:jc w:val="center"/>
              <w:rPr>
                <w:rFonts w:ascii="宋体" w:hAnsi="宋体" w:cs="宋体"/>
                <w:color w:val="000000"/>
                <w:kern w:val="0"/>
                <w:lang w:bidi="ar"/>
              </w:rPr>
            </w:pPr>
            <w:r>
              <w:rPr>
                <w:rFonts w:hint="eastAsia" w:ascii="宋体" w:hAnsi="宋体" w:cs="宋体"/>
                <w:color w:val="000000"/>
                <w:kern w:val="0"/>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兴业银行股份有限公司</w:t>
            </w:r>
          </w:p>
        </w:tc>
        <w:tc>
          <w:tcPr>
            <w:tcW w:w="1325"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江苏银行股份有限公司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厦门银行股份有限公司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厦门国际银行股份有限公司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富邦华一银行有限公司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宁波鄞州农村商业银行股份有限公司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深圳前海微众银行股份有限公司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吉林亿联银行股份有限公司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重庆富民银行股份有限公司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中信百信银行股份有限公司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江苏苏宁银行股份有限公司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石嘴山银行股份有限公司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bottom"/>
              <w:rPr>
                <w:rFonts w:ascii="宋体" w:hAnsi="宋体" w:cs="宋体"/>
              </w:rPr>
            </w:pPr>
            <w:r>
              <w:rPr>
                <w:rFonts w:hint="eastAsia" w:ascii="宋体" w:hAnsi="宋体" w:cs="宋体"/>
                <w:color w:val="000000"/>
                <w:kern w:val="0"/>
                <w:lang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中信银行股份有限公司</w:t>
            </w: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center"/>
              <w:rPr>
                <w:rFonts w:ascii="宋体" w:hAnsi="宋体" w:cs="宋体"/>
              </w:rPr>
            </w:pPr>
            <w:r>
              <w:rPr>
                <w:rFonts w:hint="eastAsia" w:ascii="宋体" w:hAnsi="宋体" w:cs="宋体"/>
                <w:color w:val="000000"/>
                <w:kern w:val="0"/>
                <w:lang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center"/>
              <w:rPr>
                <w:rFonts w:ascii="宋体" w:hAnsi="宋体" w:cs="宋体"/>
              </w:rPr>
            </w:pPr>
            <w:r>
              <w:rPr>
                <w:rFonts w:hint="eastAsia" w:ascii="宋体" w:hAnsi="宋体" w:cs="宋体"/>
                <w:color w:val="000000"/>
                <w:kern w:val="0"/>
                <w:lang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齐鲁银行股份有限公司</w:t>
            </w: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住所</w:t>
            </w:r>
          </w:p>
        </w:tc>
        <w:tc>
          <w:tcPr>
            <w:tcW w:w="4625" w:type="dxa"/>
            <w:vAlign w:val="center"/>
          </w:tcPr>
          <w:p>
            <w:pPr>
              <w:widowControl/>
              <w:jc w:val="center"/>
              <w:textAlignment w:val="center"/>
              <w:rPr>
                <w:rFonts w:ascii="宋体" w:hAnsi="宋体" w:cs="宋体"/>
              </w:rPr>
            </w:pPr>
            <w:r>
              <w:rPr>
                <w:rFonts w:hint="eastAsia" w:ascii="宋体" w:hAnsi="宋体" w:cs="宋体"/>
                <w:color w:val="000000"/>
                <w:kern w:val="0"/>
                <w:lang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客服热线</w:t>
            </w:r>
          </w:p>
        </w:tc>
        <w:tc>
          <w:tcPr>
            <w:tcW w:w="4625" w:type="dxa"/>
            <w:vAlign w:val="center"/>
          </w:tcPr>
          <w:p>
            <w:pPr>
              <w:widowControl/>
              <w:jc w:val="center"/>
              <w:textAlignment w:val="center"/>
              <w:rPr>
                <w:rFonts w:ascii="宋体" w:hAnsi="宋体" w:cs="宋体"/>
              </w:rPr>
            </w:pPr>
            <w:r>
              <w:rPr>
                <w:rFonts w:hint="eastAsia" w:ascii="宋体" w:hAnsi="宋体" w:cs="宋体"/>
                <w:color w:val="000000"/>
                <w:kern w:val="0"/>
                <w:lang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ascii="宋体" w:hAnsi="宋体" w:cs="宋体"/>
                <w:color w:val="000000"/>
                <w:kern w:val="0"/>
              </w:rPr>
            </w:pPr>
            <w:r>
              <w:rPr>
                <w:rFonts w:hint="eastAsia" w:ascii="宋体" w:hAnsi="宋体" w:cs="宋体"/>
                <w:color w:val="000000"/>
                <w:kern w:val="0"/>
              </w:rPr>
              <w:t>销售机构职责</w:t>
            </w:r>
          </w:p>
        </w:tc>
        <w:tc>
          <w:tcPr>
            <w:tcW w:w="7638" w:type="dxa"/>
            <w:gridSpan w:val="3"/>
            <w:vAlign w:val="center"/>
          </w:tcPr>
          <w:p>
            <w:pPr>
              <w:widowControl/>
              <w:jc w:val="left"/>
              <w:textAlignment w:val="center"/>
              <w:rPr>
                <w:rFonts w:ascii="宋体" w:hAnsi="宋体" w:cs="宋体"/>
                <w:color w:val="000000"/>
                <w:kern w:val="0"/>
                <w:lang w:bidi="ar"/>
              </w:rPr>
            </w:pPr>
            <w:r>
              <w:rPr>
                <w:rFonts w:hint="eastAsia" w:ascii="宋体" w:hAnsi="宋体" w:cs="宋体"/>
                <w:color w:val="000000"/>
                <w:kern w:val="0"/>
              </w:rPr>
              <w:t>主要负责理财计划推广、投资者风险承受能力评估、投资者适当性管理、理财计划份额认购、申购及赎回办理。</w:t>
            </w:r>
            <w:r>
              <w:rPr>
                <w:rFonts w:hint="eastAsia" w:ascii="宋体" w:hAnsi="宋体" w:cs="宋体"/>
                <w:color w:val="000000"/>
                <w:kern w:val="0"/>
              </w:rPr>
              <w:br w:type="textWrapping"/>
            </w:r>
            <w:r>
              <w:rPr>
                <w:rFonts w:hint="eastAsia" w:ascii="宋体" w:hAnsi="宋体" w:cs="宋体"/>
                <w:color w:val="000000"/>
                <w:kern w:val="0"/>
              </w:rPr>
              <w:t>协助管理人负责与投资者签订理财计划合同、与投资者沟通及进行信息披露、接受投资者咨询和客户维护等销售服务。</w:t>
            </w:r>
          </w:p>
        </w:tc>
      </w:tr>
    </w:tbl>
    <w:p>
      <w:pPr>
        <w:numPr>
          <w:ilvl w:val="255"/>
          <w:numId w:val="0"/>
        </w:numPr>
        <w:spacing w:line="520" w:lineRule="exact"/>
        <w:rPr>
          <w:rFonts w:ascii="Cambria" w:hAnsi="Cambria" w:cs="宋体"/>
          <w:b/>
          <w:bCs/>
          <w:kern w:val="28"/>
          <w:sz w:val="28"/>
          <w:szCs w:val="28"/>
        </w:rPr>
      </w:pPr>
      <w:r>
        <w:rPr>
          <w:rFonts w:hint="eastAsia" w:ascii="Cambria" w:hAnsi="Cambria" w:cs="宋体"/>
          <w:b/>
          <w:bCs/>
          <w:kern w:val="28"/>
          <w:sz w:val="28"/>
          <w:szCs w:val="28"/>
        </w:rPr>
        <w:t>十二、其他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理财计划合同的订立、生效、履行、解释、修改和终止等事项的适用法律和争议解决方式按照《杭银理财理财计划投资协议书》、《杭银理财理财计划销售协议书》的相关约定执行。</w:t>
      </w:r>
    </w:p>
    <w:p>
      <w:pPr>
        <w:spacing w:line="360" w:lineRule="auto"/>
        <w:jc w:val="center"/>
        <w:rPr>
          <w:rFonts w:ascii="宋体" w:hAnsi="宋体"/>
          <w:b/>
          <w:bCs/>
          <w:color w:val="000000"/>
          <w:sz w:val="32"/>
          <w:szCs w:val="32"/>
        </w:rPr>
      </w:pPr>
      <w:r>
        <w:rPr>
          <w:rFonts w:hint="eastAsia" w:ascii="宋体" w:hAnsi="Wingdings" w:cs="宋体"/>
          <w:color w:val="000000"/>
          <w:kern w:val="0"/>
        </w:rPr>
        <w:br w:type="page"/>
      </w:r>
      <w:r>
        <w:rPr>
          <w:rFonts w:hint="eastAsia" w:ascii="宋体" w:hAnsi="宋体"/>
          <w:b/>
          <w:bCs/>
          <w:color w:val="000000"/>
          <w:sz w:val="32"/>
          <w:szCs w:val="32"/>
        </w:rPr>
        <w:t>杭银理财投资者权益须知</w:t>
      </w:r>
    </w:p>
    <w:p>
      <w:pPr>
        <w:jc w:val="center"/>
        <w:rPr>
          <w:rFonts w:ascii="宋体" w:hAnsi="宋体"/>
          <w:b/>
          <w:bCs/>
          <w:color w:val="000000"/>
        </w:rPr>
      </w:pPr>
      <w:r>
        <w:rPr>
          <w:rFonts w:hint="eastAsia" w:ascii="宋体" w:hAnsi="宋体"/>
        </w:rPr>
        <w:t>（202101版）</w:t>
      </w:r>
    </w:p>
    <w:p>
      <w:pPr>
        <w:spacing w:line="360" w:lineRule="auto"/>
        <w:jc w:val="center"/>
        <w:rPr>
          <w:rFonts w:ascii="宋体" w:hAnsi="宋体"/>
          <w:b/>
          <w:bCs/>
          <w:u w:val="single"/>
        </w:rPr>
      </w:pPr>
      <w:r>
        <w:rPr>
          <w:rFonts w:hint="eastAsia" w:ascii="宋体" w:hAnsi="宋体"/>
          <w:b/>
          <w:bCs/>
          <w:u w:val="single"/>
        </w:rPr>
        <w:t>理财非存款、产品有风险、投资须谨慎</w:t>
      </w:r>
    </w:p>
    <w:p>
      <w:pPr>
        <w:spacing w:line="360" w:lineRule="auto"/>
        <w:rPr>
          <w:rFonts w:ascii="宋体" w:hAnsi="宋体"/>
          <w:kern w:val="0"/>
        </w:rPr>
      </w:pPr>
      <w:r>
        <w:rPr>
          <w:rFonts w:hint="eastAsia" w:ascii="宋体" w:hAnsi="宋体"/>
          <w:kern w:val="0"/>
        </w:rPr>
        <w:t>尊敬的投资者：</w:t>
      </w:r>
    </w:p>
    <w:p>
      <w:pPr>
        <w:spacing w:line="360" w:lineRule="auto"/>
        <w:ind w:firstLine="420" w:firstLineChars="200"/>
        <w:rPr>
          <w:rFonts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8"/>
        </w:numPr>
        <w:spacing w:line="360" w:lineRule="auto"/>
        <w:rPr>
          <w:rFonts w:ascii="宋体" w:hAnsi="宋体"/>
          <w:b/>
          <w:bCs/>
          <w:kern w:val="0"/>
        </w:rPr>
      </w:pPr>
      <w:r>
        <w:rPr>
          <w:rFonts w:hint="eastAsia" w:ascii="宋体" w:hAnsi="宋体"/>
          <w:b/>
          <w:bCs/>
          <w:kern w:val="0"/>
        </w:rPr>
        <w:t>理财计划办理流程</w:t>
      </w:r>
    </w:p>
    <w:p>
      <w:pPr>
        <w:numPr>
          <w:ilvl w:val="0"/>
          <w:numId w:val="19"/>
        </w:numPr>
        <w:spacing w:line="360" w:lineRule="auto"/>
        <w:rPr>
          <w:rFonts w:ascii="宋体" w:hAnsi="宋体"/>
          <w:kern w:val="0"/>
        </w:rPr>
      </w:pPr>
      <w:r>
        <w:rPr>
          <w:rFonts w:hint="eastAsia" w:ascii="宋体" w:hAnsi="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19"/>
        </w:numPr>
        <w:spacing w:line="360" w:lineRule="auto"/>
        <w:rPr>
          <w:rFonts w:ascii="宋体" w:hAnsi="宋体"/>
          <w:kern w:val="0"/>
        </w:rPr>
      </w:pPr>
      <w:r>
        <w:rPr>
          <w:rFonts w:hint="eastAsia" w:ascii="宋体" w:hAnsi="宋体"/>
          <w:kern w:val="0"/>
        </w:rPr>
        <w:t>首次在销售机构购买杭银理财理财计划的个人投资者须接受并完成销售机构对您的风险承受能力评估，并确认风险承受能力等级不低于本理财计划风险评级。</w:t>
      </w:r>
    </w:p>
    <w:p>
      <w:pPr>
        <w:numPr>
          <w:ilvl w:val="0"/>
          <w:numId w:val="19"/>
        </w:numPr>
        <w:spacing w:line="360" w:lineRule="auto"/>
        <w:rPr>
          <w:rFonts w:ascii="宋体" w:hAnsi="宋体"/>
          <w:kern w:val="0"/>
        </w:rPr>
      </w:pPr>
      <w:r>
        <w:rPr>
          <w:rFonts w:hint="eastAsia" w:ascii="宋体" w:hAnsi="宋体"/>
          <w:kern w:val="0"/>
        </w:rPr>
        <w:t>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19"/>
        </w:numPr>
        <w:spacing w:line="360" w:lineRule="auto"/>
        <w:rPr>
          <w:rFonts w:ascii="宋体" w:hAnsi="宋体"/>
          <w:kern w:val="0"/>
        </w:rPr>
      </w:pPr>
      <w:r>
        <w:rPr>
          <w:rFonts w:hint="eastAsia" w:ascii="宋体" w:hAnsi="宋体"/>
          <w:kern w:val="0"/>
        </w:rPr>
        <w:t>如在银行营业场所购买杭银理财理财计划，销售机构需对每笔理财计划销售过程同步录音录像。</w:t>
      </w:r>
    </w:p>
    <w:p>
      <w:pPr>
        <w:numPr>
          <w:ilvl w:val="0"/>
          <w:numId w:val="19"/>
        </w:numPr>
        <w:spacing w:line="360" w:lineRule="auto"/>
        <w:rPr>
          <w:rFonts w:ascii="宋体" w:hAnsi="宋体"/>
          <w:kern w:val="0"/>
        </w:rPr>
      </w:pPr>
      <w:r>
        <w:rPr>
          <w:rFonts w:hint="eastAsia" w:ascii="宋体" w:hAnsi="宋体"/>
          <w:kern w:val="0"/>
        </w:rPr>
        <w:t>投资者确定交易金额，完成交易申请，并在确认份额后进行查询。</w:t>
      </w:r>
    </w:p>
    <w:p>
      <w:pPr>
        <w:numPr>
          <w:ilvl w:val="0"/>
          <w:numId w:val="20"/>
        </w:numPr>
        <w:spacing w:line="360" w:lineRule="auto"/>
        <w:rPr>
          <w:rFonts w:ascii="宋体" w:hAnsi="宋体"/>
          <w:b/>
          <w:bCs/>
          <w:kern w:val="0"/>
        </w:rPr>
      </w:pPr>
      <w:r>
        <w:rPr>
          <w:rFonts w:hint="eastAsia" w:ascii="宋体" w:hAnsi="宋体"/>
          <w:b/>
          <w:bCs/>
          <w:kern w:val="0"/>
        </w:rPr>
        <w:t>杭银理财产品风险评级</w:t>
      </w:r>
    </w:p>
    <w:p>
      <w:pPr>
        <w:spacing w:line="360" w:lineRule="auto"/>
        <w:ind w:firstLine="420" w:firstLineChars="200"/>
        <w:rPr>
          <w:rFonts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ascii="宋体" w:hAnsi="宋体"/>
          <w:kern w:val="0"/>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numPr>
          <w:ilvl w:val="0"/>
          <w:numId w:val="21"/>
        </w:numPr>
        <w:spacing w:line="360" w:lineRule="auto"/>
        <w:rPr>
          <w:rFonts w:ascii="宋体" w:hAnsi="宋体" w:cs="Times New Roman"/>
          <w:b/>
          <w:bCs/>
          <w:kern w:val="0"/>
        </w:rPr>
      </w:pPr>
      <w:r>
        <w:rPr>
          <w:rFonts w:hint="eastAsia" w:ascii="宋体" w:hAnsi="宋体"/>
          <w:b/>
          <w:bCs/>
          <w:kern w:val="0"/>
        </w:rPr>
        <w:t>投资者风险承受能力评估</w:t>
      </w:r>
    </w:p>
    <w:p>
      <w:pPr>
        <w:numPr>
          <w:ilvl w:val="0"/>
          <w:numId w:val="22"/>
        </w:numPr>
        <w:spacing w:line="360" w:lineRule="auto"/>
        <w:rPr>
          <w:rFonts w:ascii="宋体" w:hAnsi="宋体"/>
          <w:kern w:val="0"/>
        </w:rPr>
      </w:pPr>
      <w:r>
        <w:rPr>
          <w:rFonts w:hint="eastAsia" w:ascii="宋体" w:hAnsi="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22"/>
        </w:numPr>
        <w:spacing w:line="360" w:lineRule="auto"/>
        <w:rPr>
          <w:rFonts w:ascii="宋体" w:hAnsi="宋体"/>
          <w:kern w:val="0"/>
        </w:rPr>
      </w:pPr>
      <w:r>
        <w:rPr>
          <w:rFonts w:hint="eastAsia" w:ascii="宋体" w:hAnsi="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22"/>
        </w:numPr>
        <w:spacing w:line="360" w:lineRule="auto"/>
        <w:rPr>
          <w:rFonts w:ascii="宋体" w:hAnsi="宋体"/>
          <w:kern w:val="0"/>
        </w:rPr>
      </w:pPr>
      <w:r>
        <w:rPr>
          <w:rFonts w:hint="eastAsia" w:ascii="宋体" w:hAnsi="宋体"/>
          <w:kern w:val="0"/>
        </w:rPr>
        <w:t>个人投资者风险承受能力评估流程（详询销售机构工作人员）</w:t>
      </w:r>
    </w:p>
    <w:p>
      <w:pPr>
        <w:numPr>
          <w:ilvl w:val="0"/>
          <w:numId w:val="23"/>
        </w:numPr>
        <w:spacing w:line="360" w:lineRule="auto"/>
        <w:rPr>
          <w:rFonts w:ascii="宋体" w:hAnsi="宋体"/>
          <w:kern w:val="0"/>
        </w:rPr>
      </w:pPr>
      <w:r>
        <w:rPr>
          <w:rFonts w:hint="eastAsia" w:ascii="宋体" w:hAnsi="宋体"/>
          <w:kern w:val="0"/>
        </w:rPr>
        <w:t>个人投资者在销售机构进行风险承受能力评估；</w:t>
      </w:r>
    </w:p>
    <w:p>
      <w:pPr>
        <w:numPr>
          <w:ilvl w:val="0"/>
          <w:numId w:val="23"/>
        </w:numPr>
        <w:spacing w:line="360" w:lineRule="auto"/>
        <w:rPr>
          <w:rFonts w:ascii="宋体" w:hAnsi="宋体"/>
          <w:kern w:val="0"/>
        </w:rPr>
      </w:pPr>
      <w:r>
        <w:rPr>
          <w:rFonts w:hint="eastAsia" w:ascii="宋体" w:hAnsi="宋体"/>
          <w:kern w:val="0"/>
        </w:rPr>
        <w:t>填写销售机构个人投资者风险承受能力测试问卷；</w:t>
      </w:r>
    </w:p>
    <w:p>
      <w:pPr>
        <w:numPr>
          <w:ilvl w:val="0"/>
          <w:numId w:val="23"/>
        </w:numPr>
        <w:spacing w:line="360" w:lineRule="auto"/>
        <w:rPr>
          <w:rFonts w:ascii="宋体" w:hAnsi="宋体"/>
          <w:kern w:val="0"/>
        </w:rPr>
      </w:pPr>
      <w:r>
        <w:rPr>
          <w:rFonts w:hint="eastAsia" w:ascii="宋体" w:hAnsi="宋体"/>
          <w:kern w:val="0"/>
        </w:rPr>
        <w:t>生成相应的个人投资者风险承受能力评估结果；</w:t>
      </w:r>
    </w:p>
    <w:p>
      <w:pPr>
        <w:numPr>
          <w:ilvl w:val="0"/>
          <w:numId w:val="23"/>
        </w:numPr>
        <w:spacing w:line="360" w:lineRule="auto"/>
        <w:rPr>
          <w:rFonts w:ascii="宋体" w:hAnsi="宋体"/>
          <w:kern w:val="0"/>
        </w:rPr>
      </w:pPr>
      <w:r>
        <w:rPr>
          <w:rFonts w:hint="eastAsia" w:ascii="宋体" w:hAnsi="宋体"/>
          <w:kern w:val="0"/>
        </w:rPr>
        <w:t>投资者对评估结果进行确认。</w:t>
      </w:r>
    </w:p>
    <w:p>
      <w:pPr>
        <w:numPr>
          <w:ilvl w:val="0"/>
          <w:numId w:val="24"/>
        </w:numPr>
        <w:spacing w:line="360" w:lineRule="auto"/>
        <w:rPr>
          <w:rFonts w:ascii="宋体" w:hAnsi="宋体"/>
          <w:kern w:val="0"/>
        </w:rPr>
      </w:pPr>
      <w:r>
        <w:rPr>
          <w:rFonts w:hint="eastAsia" w:ascii="宋体" w:hAnsi="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24"/>
        </w:numPr>
        <w:spacing w:line="360" w:lineRule="auto"/>
        <w:rPr>
          <w:rFonts w:ascii="宋体" w:hAnsi="宋体"/>
          <w:kern w:val="0"/>
        </w:rPr>
      </w:pPr>
      <w:r>
        <w:rPr>
          <w:rFonts w:hint="eastAsia" w:ascii="宋体" w:hAnsi="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24"/>
        </w:numPr>
        <w:spacing w:line="360" w:lineRule="auto"/>
        <w:rPr>
          <w:rFonts w:ascii="宋体" w:hAnsi="宋体"/>
          <w:kern w:val="0"/>
        </w:rPr>
      </w:pPr>
      <w:r>
        <w:rPr>
          <w:rFonts w:hint="eastAsia" w:ascii="宋体" w:hAnsi="宋体"/>
          <w:kern w:val="0"/>
        </w:rPr>
        <w:t>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ascii="宋体" w:hAnsi="宋体"/>
          <w:b/>
          <w:bCs/>
          <w:kern w:val="0"/>
        </w:rPr>
      </w:pPr>
      <w:r>
        <w:rPr>
          <w:rFonts w:hint="eastAsia" w:ascii="宋体" w:hAnsi="宋体"/>
          <w:b/>
          <w:bCs/>
          <w:kern w:val="0"/>
        </w:rPr>
        <w:t>四、理财计划信息披露</w:t>
      </w:r>
    </w:p>
    <w:p>
      <w:pPr>
        <w:spacing w:line="360" w:lineRule="auto"/>
        <w:ind w:firstLine="420" w:firstLineChars="200"/>
        <w:rPr>
          <w:rFonts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ascii="宋体" w:hAnsi="宋体"/>
          <w:b/>
          <w:bCs/>
          <w:kern w:val="0"/>
        </w:rPr>
      </w:pPr>
      <w:r>
        <w:rPr>
          <w:rFonts w:hint="eastAsia" w:ascii="宋体" w:hAnsi="宋体"/>
          <w:b/>
          <w:bCs/>
          <w:kern w:val="0"/>
        </w:rPr>
        <w:t>五、投资者信息管理</w:t>
      </w:r>
    </w:p>
    <w:p>
      <w:pPr>
        <w:spacing w:line="360" w:lineRule="auto"/>
        <w:ind w:firstLine="420" w:firstLineChars="200"/>
        <w:rPr>
          <w:rFonts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ascii="宋体" w:hAnsi="宋体"/>
          <w:b/>
          <w:bCs/>
          <w:kern w:val="0"/>
        </w:rPr>
      </w:pPr>
      <w:r>
        <w:rPr>
          <w:rFonts w:hint="eastAsia" w:ascii="宋体" w:hAnsi="宋体"/>
          <w:b/>
          <w:bCs/>
          <w:kern w:val="0"/>
        </w:rPr>
        <w:t>六、投诉与建议</w:t>
      </w:r>
    </w:p>
    <w:p>
      <w:pPr>
        <w:numPr>
          <w:ilvl w:val="0"/>
          <w:numId w:val="25"/>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5"/>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26"/>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26"/>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spacing w:line="520" w:lineRule="exact"/>
        <w:ind w:firstLine="0" w:firstLineChars="0"/>
        <w:rPr>
          <w:rFonts w:hint="eastAsia" w:ascii="宋体" w:hAnsi="Wingdings" w:cs="宋体"/>
          <w:color w:val="000000"/>
          <w:kern w:val="0"/>
        </w:rPr>
      </w:pPr>
      <w:r>
        <w:rPr>
          <w:rFonts w:hint="eastAsia" w:ascii="宋体" w:hAnsi="宋体"/>
          <w:kern w:val="0"/>
        </w:rPr>
        <w:t>若上述联系方式变更，杭银理财将提前通过原官方网站及时告知投资者</w:t>
      </w:r>
    </w:p>
    <w:p>
      <w:pPr>
        <w:jc w:val="center"/>
        <w:rPr>
          <w:rFonts w:ascii="宋体" w:hAnsi="宋体"/>
          <w:b/>
          <w:bCs/>
          <w:sz w:val="32"/>
          <w:szCs w:val="32"/>
        </w:rPr>
      </w:pPr>
      <w:bookmarkStart w:id="3" w:name="_GoBack"/>
      <w:bookmarkEnd w:id="3"/>
      <w:r>
        <w:rPr>
          <w:rFonts w:hint="eastAsia" w:ascii="宋体" w:hAnsi="Wingdings" w:cs="宋体"/>
          <w:color w:val="000000"/>
          <w:kern w:val="0"/>
        </w:rPr>
        <w:br w:type="page"/>
      </w:r>
      <w:r>
        <w:rPr>
          <w:rFonts w:hint="eastAsia" w:ascii="宋体" w:hAnsi="宋体"/>
          <w:b/>
          <w:bCs/>
          <w:sz w:val="32"/>
          <w:szCs w:val="32"/>
        </w:rPr>
        <w:t>杭银理财理财计划投资协议书</w:t>
      </w:r>
    </w:p>
    <w:p>
      <w:pPr>
        <w:jc w:val="center"/>
        <w:rPr>
          <w:rFonts w:ascii="宋体" w:hAnsi="宋体"/>
          <w:b/>
          <w:bCs/>
        </w:rPr>
      </w:pPr>
      <w:r>
        <w:rPr>
          <w:rFonts w:hint="eastAsia" w:ascii="宋体" w:hAnsi="宋体"/>
        </w:rPr>
        <w:t>（202101版）</w:t>
      </w:r>
    </w:p>
    <w:p>
      <w:pPr>
        <w:jc w:val="center"/>
        <w:rPr>
          <w:rFonts w:ascii="宋体" w:hAnsi="宋体"/>
          <w:b/>
          <w:bCs/>
        </w:rPr>
      </w:pPr>
    </w:p>
    <w:p>
      <w:pPr>
        <w:spacing w:line="360" w:lineRule="auto"/>
        <w:ind w:firstLine="422" w:firstLineChars="200"/>
        <w:rPr>
          <w:rFonts w:ascii="宋体" w:hAnsi="宋体"/>
          <w:b/>
          <w:bCs/>
        </w:rPr>
      </w:pPr>
      <w:r>
        <w:rPr>
          <w:rFonts w:hint="eastAsia" w:ascii="宋体" w:hAnsi="宋体"/>
          <w:b/>
          <w:bCs/>
        </w:rPr>
        <w:t>特别提示：杭银理财理财计划投资协议书与杭银理财理财计划销售协议书、投资者权益须知、风险揭示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numPr>
          <w:ilvl w:val="0"/>
          <w:numId w:val="27"/>
        </w:numPr>
        <w:spacing w:line="360" w:lineRule="auto"/>
        <w:ind w:firstLine="422" w:firstLineChars="200"/>
        <w:rPr>
          <w:rFonts w:ascii="宋体" w:hAnsi="宋体"/>
          <w:b/>
          <w:bCs/>
        </w:rPr>
      </w:pPr>
      <w:r>
        <w:rPr>
          <w:rFonts w:hint="eastAsia" w:ascii="宋体" w:hAnsi="宋体"/>
          <w:b/>
          <w:bCs/>
        </w:rPr>
        <w:t>名词释义</w:t>
      </w:r>
    </w:p>
    <w:p>
      <w:pPr>
        <w:spacing w:line="360" w:lineRule="auto"/>
        <w:ind w:firstLine="420" w:firstLineChars="200"/>
        <w:rPr>
          <w:rFonts w:ascii="宋体" w:hAnsi="宋体"/>
        </w:rPr>
      </w:pPr>
      <w:r>
        <w:rPr>
          <w:rFonts w:hint="eastAsia" w:ascii="宋体" w:hAnsi="宋体"/>
        </w:rPr>
        <w:t>详见理财计划说明书“释义”部分。</w:t>
      </w:r>
    </w:p>
    <w:p>
      <w:pPr>
        <w:numPr>
          <w:ilvl w:val="0"/>
          <w:numId w:val="27"/>
        </w:numPr>
        <w:spacing w:line="360" w:lineRule="auto"/>
        <w:ind w:firstLine="422" w:firstLineChars="200"/>
        <w:rPr>
          <w:rFonts w:ascii="宋体" w:hAnsi="宋体"/>
          <w:b/>
          <w:bCs/>
        </w:rPr>
      </w:pPr>
      <w:r>
        <w:rPr>
          <w:rFonts w:hint="eastAsia" w:ascii="宋体" w:hAnsi="宋体"/>
          <w:b/>
          <w:bCs/>
        </w:rPr>
        <w:t>投资者权利与义务</w:t>
      </w:r>
    </w:p>
    <w:p>
      <w:pPr>
        <w:widowControl/>
        <w:numPr>
          <w:ilvl w:val="0"/>
          <w:numId w:val="28"/>
        </w:numPr>
        <w:spacing w:line="360" w:lineRule="auto"/>
        <w:contextualSpacing/>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8"/>
        </w:numPr>
        <w:spacing w:line="360" w:lineRule="auto"/>
        <w:contextualSpacing/>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28"/>
        </w:numPr>
        <w:spacing w:line="360" w:lineRule="auto"/>
        <w:contextualSpacing/>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28"/>
        </w:numPr>
        <w:spacing w:line="360" w:lineRule="auto"/>
        <w:contextualSpacing/>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8"/>
        </w:numPr>
        <w:spacing w:line="360" w:lineRule="auto"/>
        <w:contextualSpacing/>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8"/>
        </w:numPr>
        <w:spacing w:line="360" w:lineRule="auto"/>
        <w:contextualSpacing/>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8"/>
        </w:numPr>
        <w:spacing w:line="360" w:lineRule="auto"/>
        <w:contextualSpacing/>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28"/>
        </w:numPr>
        <w:spacing w:line="360" w:lineRule="auto"/>
        <w:contextualSpacing/>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8"/>
        </w:numPr>
        <w:spacing w:line="360" w:lineRule="auto"/>
        <w:contextualSpacing/>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rFonts w:ascii="Times New Roman" w:hAnsi="Times New Roman"/>
          <w:b/>
          <w:bCs/>
        </w:rPr>
      </w:pPr>
    </w:p>
    <w:p>
      <w:pPr>
        <w:numPr>
          <w:ilvl w:val="0"/>
          <w:numId w:val="27"/>
        </w:numPr>
        <w:spacing w:line="360" w:lineRule="auto"/>
        <w:ind w:firstLine="422" w:firstLineChars="200"/>
        <w:rPr>
          <w:rFonts w:ascii="宋体" w:hAnsi="宋体"/>
          <w:b/>
          <w:bCs/>
        </w:rPr>
      </w:pPr>
      <w:r>
        <w:rPr>
          <w:rFonts w:hint="eastAsia" w:ascii="宋体" w:hAnsi="宋体"/>
          <w:b/>
          <w:bCs/>
        </w:rPr>
        <w:t>管理人权利与义务</w:t>
      </w:r>
    </w:p>
    <w:p>
      <w:pPr>
        <w:widowControl/>
        <w:numPr>
          <w:ilvl w:val="0"/>
          <w:numId w:val="29"/>
        </w:numPr>
        <w:spacing w:line="360" w:lineRule="auto"/>
        <w:contextualSpacing/>
        <w:rPr>
          <w:rFonts w:ascii="宋体" w:hAnsi="宋体"/>
        </w:rPr>
      </w:pPr>
      <w:r>
        <w:rPr>
          <w:rFonts w:hint="eastAsia" w:ascii="宋体" w:hAnsi="宋体"/>
        </w:rPr>
        <w:t xml:space="preserve">管理人应当诚实守信、勤勉尽责地履行受人之托、代人理财职责。 </w:t>
      </w:r>
    </w:p>
    <w:p>
      <w:pPr>
        <w:widowControl/>
        <w:numPr>
          <w:ilvl w:val="0"/>
          <w:numId w:val="29"/>
        </w:numPr>
        <w:spacing w:line="360" w:lineRule="auto"/>
        <w:contextualSpacing/>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29"/>
        </w:numPr>
        <w:spacing w:line="360" w:lineRule="auto"/>
        <w:contextualSpacing/>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29"/>
        </w:numPr>
        <w:spacing w:line="360" w:lineRule="auto"/>
        <w:contextualSpacing/>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29"/>
        </w:numPr>
        <w:spacing w:line="360" w:lineRule="auto"/>
        <w:contextualSpacing/>
        <w:rPr>
          <w:rFonts w:ascii="宋体" w:hAnsi="宋体"/>
        </w:rPr>
      </w:pPr>
      <w:r>
        <w:rPr>
          <w:rFonts w:hint="eastAsia" w:ascii="宋体" w:hAnsi="宋体"/>
        </w:rPr>
        <w:t>管理人不得将理财计划财产归入其自有资产，因依法解散、被依法撤销或者被依法宣告破产等原因进行清算的，理财计划财产不属于其清算财产。</w:t>
      </w:r>
    </w:p>
    <w:p>
      <w:pPr>
        <w:widowControl/>
        <w:numPr>
          <w:ilvl w:val="0"/>
          <w:numId w:val="29"/>
        </w:numPr>
        <w:spacing w:line="360" w:lineRule="auto"/>
        <w:contextualSpacing/>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29"/>
        </w:numPr>
        <w:spacing w:line="360" w:lineRule="auto"/>
        <w:contextualSpacing/>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29"/>
        </w:numPr>
        <w:spacing w:line="360" w:lineRule="auto"/>
        <w:contextualSpacing/>
        <w:rPr>
          <w:rFonts w:ascii="宋体" w:hAnsi="宋体"/>
        </w:rPr>
      </w:pPr>
      <w:r>
        <w:rPr>
          <w:rFonts w:hint="eastAsia" w:ascii="宋体" w:hAnsi="宋体"/>
        </w:rPr>
        <w:t xml:space="preserve">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numPr>
          <w:ilvl w:val="0"/>
          <w:numId w:val="29"/>
        </w:numPr>
        <w:spacing w:line="360" w:lineRule="auto"/>
        <w:contextualSpacing/>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ascii="Times New Roman" w:hAnsi="Times New Roman"/>
          <w:b/>
          <w:bCs/>
        </w:rPr>
      </w:pPr>
    </w:p>
    <w:p>
      <w:pPr>
        <w:numPr>
          <w:ilvl w:val="0"/>
          <w:numId w:val="27"/>
        </w:numPr>
        <w:spacing w:line="360" w:lineRule="auto"/>
        <w:ind w:firstLine="422" w:firstLineChars="200"/>
        <w:rPr>
          <w:rFonts w:ascii="宋体" w:hAnsi="宋体"/>
          <w:b/>
          <w:bCs/>
        </w:rPr>
      </w:pPr>
      <w:r>
        <w:rPr>
          <w:rFonts w:hint="eastAsia" w:ascii="宋体" w:hAnsi="宋体"/>
          <w:b/>
          <w:bCs/>
        </w:rPr>
        <w:t>理财计划认（申）购、赎回及终止</w:t>
      </w:r>
    </w:p>
    <w:p>
      <w:pPr>
        <w:widowControl/>
        <w:numPr>
          <w:ilvl w:val="0"/>
          <w:numId w:val="30"/>
        </w:numPr>
        <w:spacing w:line="360" w:lineRule="auto"/>
        <w:contextualSpacing/>
        <w:rPr>
          <w:rFonts w:ascii="宋体" w:hAnsi="宋体"/>
        </w:rPr>
      </w:pPr>
      <w:r>
        <w:rPr>
          <w:rFonts w:hint="eastAsia" w:ascii="宋体" w:hAnsi="宋体"/>
        </w:rPr>
        <w:t xml:space="preserve">理财计划认/申购办理流程：参照《投资者权益须知》约定。 </w:t>
      </w:r>
    </w:p>
    <w:p>
      <w:pPr>
        <w:widowControl/>
        <w:numPr>
          <w:ilvl w:val="0"/>
          <w:numId w:val="30"/>
        </w:numPr>
        <w:spacing w:line="360" w:lineRule="auto"/>
        <w:contextualSpacing/>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30"/>
        </w:numPr>
        <w:spacing w:line="360" w:lineRule="auto"/>
        <w:contextualSpacing/>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30"/>
        </w:numPr>
        <w:spacing w:line="360" w:lineRule="auto"/>
        <w:contextualSpacing/>
        <w:rPr>
          <w:rFonts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30"/>
        </w:numPr>
        <w:spacing w:line="360" w:lineRule="auto"/>
        <w:contextualSpacing/>
        <w:rPr>
          <w:rFonts w:ascii="宋体" w:hAnsi="宋体"/>
        </w:rPr>
      </w:pPr>
      <w:r>
        <w:rPr>
          <w:rFonts w:hint="eastAsia" w:ascii="宋体" w:hAnsi="宋体"/>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30"/>
        </w:numPr>
        <w:spacing w:line="360" w:lineRule="auto"/>
        <w:contextualSpacing/>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ascii="Times New Roman" w:hAnsi="Times New Roman"/>
          <w:b/>
          <w:bCs/>
        </w:rPr>
      </w:pPr>
    </w:p>
    <w:p>
      <w:pPr>
        <w:numPr>
          <w:ilvl w:val="0"/>
          <w:numId w:val="27"/>
        </w:numPr>
        <w:spacing w:line="360" w:lineRule="auto"/>
        <w:ind w:firstLine="422" w:firstLineChars="200"/>
        <w:rPr>
          <w:rFonts w:ascii="宋体" w:hAnsi="宋体"/>
          <w:b/>
          <w:bCs/>
        </w:rPr>
      </w:pPr>
      <w:r>
        <w:rPr>
          <w:rFonts w:hint="eastAsia" w:ascii="宋体" w:hAnsi="宋体"/>
          <w:b/>
          <w:bCs/>
        </w:rPr>
        <w:t>税收处理</w:t>
      </w:r>
    </w:p>
    <w:p>
      <w:pPr>
        <w:widowControl/>
        <w:spacing w:line="360" w:lineRule="auto"/>
        <w:ind w:firstLine="420" w:firstLineChars="200"/>
        <w:contextualSpacing/>
        <w:rPr>
          <w:rFonts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ascii="宋体" w:hAnsi="宋体"/>
        </w:rPr>
      </w:pPr>
    </w:p>
    <w:p>
      <w:pPr>
        <w:numPr>
          <w:ilvl w:val="0"/>
          <w:numId w:val="27"/>
        </w:numPr>
        <w:spacing w:line="360" w:lineRule="auto"/>
        <w:ind w:firstLine="422" w:firstLineChars="200"/>
        <w:rPr>
          <w:rFonts w:ascii="宋体" w:hAnsi="宋体"/>
          <w:b/>
          <w:bCs/>
        </w:rPr>
      </w:pPr>
      <w:r>
        <w:rPr>
          <w:rFonts w:hint="eastAsia" w:ascii="宋体" w:hAnsi="宋体"/>
          <w:b/>
          <w:bCs/>
        </w:rPr>
        <w:t>违约责任及免责条款</w:t>
      </w:r>
    </w:p>
    <w:p>
      <w:pPr>
        <w:widowControl/>
        <w:numPr>
          <w:ilvl w:val="0"/>
          <w:numId w:val="31"/>
        </w:numPr>
        <w:spacing w:line="360" w:lineRule="auto"/>
        <w:contextualSpacing/>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numPr>
          <w:ilvl w:val="0"/>
          <w:numId w:val="31"/>
        </w:numPr>
        <w:spacing w:line="360" w:lineRule="auto"/>
        <w:contextualSpacing/>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31"/>
        </w:numPr>
        <w:spacing w:line="360" w:lineRule="auto"/>
        <w:contextualSpacing/>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31"/>
        </w:numPr>
        <w:spacing w:line="360" w:lineRule="auto"/>
        <w:contextualSpacing/>
        <w:rPr>
          <w:rFonts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31"/>
        </w:numPr>
        <w:spacing w:line="360" w:lineRule="auto"/>
        <w:contextualSpacing/>
        <w:rPr>
          <w:rFonts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31"/>
        </w:numPr>
        <w:spacing w:line="360" w:lineRule="auto"/>
        <w:contextualSpacing/>
        <w:rPr>
          <w:rFonts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27"/>
        </w:numPr>
        <w:spacing w:line="360" w:lineRule="auto"/>
        <w:ind w:firstLine="422" w:firstLineChars="200"/>
        <w:rPr>
          <w:rFonts w:ascii="Times New Roman" w:hAnsi="Times New Roman"/>
          <w:b/>
          <w:bCs/>
        </w:rPr>
      </w:pPr>
      <w:r>
        <w:rPr>
          <w:rFonts w:hint="eastAsia" w:ascii="宋体" w:hAnsi="宋体"/>
          <w:b/>
          <w:bCs/>
        </w:rPr>
        <w:t>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ascii="Times New Roman" w:hAnsi="Times New Roman"/>
          <w:b/>
          <w:bCs/>
        </w:rPr>
      </w:pPr>
    </w:p>
    <w:p>
      <w:pPr>
        <w:numPr>
          <w:ilvl w:val="0"/>
          <w:numId w:val="27"/>
        </w:numPr>
        <w:spacing w:line="360" w:lineRule="auto"/>
        <w:ind w:firstLine="422" w:firstLineChars="200"/>
        <w:rPr>
          <w:rFonts w:ascii="宋体" w:hAnsi="宋体"/>
          <w:b/>
          <w:bCs/>
        </w:rPr>
      </w:pPr>
      <w:r>
        <w:rPr>
          <w:rFonts w:hint="eastAsia" w:ascii="宋体" w:hAnsi="宋体"/>
          <w:b/>
          <w:bCs/>
        </w:rPr>
        <w:t>协议生效和终止</w:t>
      </w:r>
    </w:p>
    <w:p>
      <w:pPr>
        <w:widowControl/>
        <w:numPr>
          <w:ilvl w:val="0"/>
          <w:numId w:val="32"/>
        </w:numPr>
        <w:spacing w:line="360" w:lineRule="auto"/>
        <w:contextualSpacing/>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32"/>
        </w:numPr>
        <w:spacing w:line="360" w:lineRule="auto"/>
        <w:contextualSpacing/>
        <w:rPr>
          <w:rFonts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32"/>
        </w:numPr>
        <w:spacing w:line="360" w:lineRule="auto"/>
        <w:contextualSpacing/>
        <w:rPr>
          <w:rFonts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32"/>
        </w:numPr>
        <w:spacing w:line="360" w:lineRule="auto"/>
        <w:contextualSpacing/>
        <w:rPr>
          <w:rFonts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27"/>
        </w:numPr>
        <w:spacing w:line="360" w:lineRule="auto"/>
        <w:ind w:firstLine="422" w:firstLineChars="200"/>
        <w:rPr>
          <w:rFonts w:ascii="Times New Roman" w:hAnsi="Times New Roman"/>
          <w:b/>
          <w:bCs/>
        </w:rPr>
      </w:pPr>
      <w:r>
        <w:rPr>
          <w:rFonts w:hint="eastAsia" w:ascii="宋体" w:hAnsi="宋体"/>
          <w:b/>
          <w:bCs/>
        </w:rPr>
        <w:t>附则</w:t>
      </w:r>
    </w:p>
    <w:p>
      <w:pPr>
        <w:widowControl/>
        <w:numPr>
          <w:ilvl w:val="0"/>
          <w:numId w:val="33"/>
        </w:numPr>
        <w:spacing w:line="360" w:lineRule="auto"/>
        <w:contextualSpacing/>
        <w:rPr>
          <w:rFonts w:ascii="宋体" w:hAnsi="宋体"/>
        </w:rPr>
      </w:pPr>
      <w:r>
        <w:rPr>
          <w:rFonts w:hint="eastAsia" w:ascii="宋体" w:hAnsi="宋体"/>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33"/>
        </w:numPr>
        <w:spacing w:line="360" w:lineRule="auto"/>
        <w:contextualSpacing/>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33"/>
        </w:numPr>
        <w:spacing w:line="360" w:lineRule="auto"/>
        <w:contextualSpacing/>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rPr>
          <w:rFonts w:ascii="宋体" w:hAnsi="宋体"/>
          <w:color w:val="000000"/>
        </w:rPr>
      </w:pPr>
    </w:p>
    <w:p>
      <w:pPr>
        <w:spacing w:line="360" w:lineRule="auto"/>
        <w:rPr>
          <w:rFonts w:ascii="宋体" w:hAnsi="宋体"/>
          <w:color w:val="000000"/>
        </w:rPr>
      </w:pPr>
    </w:p>
    <w:p>
      <w:pPr>
        <w:pStyle w:val="10"/>
        <w:widowControl/>
        <w:spacing w:line="360" w:lineRule="auto"/>
        <w:jc w:val="right"/>
        <w:rPr>
          <w:rFonts w:hint="eastAsia" w:ascii="宋体" w:hAnsi="Wingdings"/>
          <w:color w:val="000000"/>
          <w:kern w:val="0"/>
          <w:sz w:val="21"/>
          <w:szCs w:val="21"/>
        </w:rPr>
      </w:pPr>
      <w:r>
        <w:rPr>
          <w:rFonts w:hint="eastAsia" w:ascii="宋体" w:hAnsi="宋体"/>
          <w:kern w:val="0"/>
          <w:sz w:val="21"/>
          <w:szCs w:val="21"/>
        </w:rPr>
        <w:t>杭银理财有限责任公司</w:t>
      </w:r>
    </w:p>
    <w:p>
      <w:pPr>
        <w:rPr>
          <w:rFonts w:ascii="Times New Roman" w:hAnsi="Times New Roman"/>
        </w:rPr>
      </w:pPr>
    </w:p>
    <w:p>
      <w:pPr>
        <w:spacing w:line="520" w:lineRule="exact"/>
        <w:ind w:firstLine="424" w:firstLineChars="202"/>
        <w:rPr>
          <w:rFonts w:hint="eastAsia" w:ascii="宋体" w:hAnsi="Wingdings" w:cs="宋体"/>
          <w:color w:val="000000"/>
          <w:kern w:val="0"/>
        </w:rPr>
      </w:pPr>
    </w:p>
    <w:p>
      <w:pPr>
        <w:pStyle w:val="10"/>
        <w:widowControl/>
        <w:spacing w:line="360" w:lineRule="auto"/>
        <w:jc w:val="center"/>
        <w:rPr>
          <w:rFonts w:ascii="宋体" w:hAnsi="宋体" w:cs="宋体"/>
          <w:kern w:val="0"/>
          <w:sz w:val="21"/>
          <w:szCs w:val="21"/>
        </w:rPr>
      </w:pPr>
      <w:r>
        <w:rPr>
          <w:rFonts w:hint="eastAsia" w:ascii="宋体" w:hAnsi="宋体" w:cs="宋体"/>
          <w:b/>
          <w:sz w:val="32"/>
          <w:szCs w:val="32"/>
        </w:rPr>
        <w:t>杭银理财理财计划销售协议书</w:t>
      </w:r>
    </w:p>
    <w:p>
      <w:pPr>
        <w:jc w:val="center"/>
        <w:rPr>
          <w:rFonts w:ascii="宋体" w:hAnsi="宋体" w:cs="宋体"/>
        </w:rPr>
      </w:pPr>
      <w:r>
        <w:rPr>
          <w:rFonts w:hint="eastAsia" w:ascii="宋体" w:hAnsi="宋体" w:cs="宋体"/>
        </w:rPr>
        <w:t>（202101版）</w:t>
      </w:r>
    </w:p>
    <w:p>
      <w:pPr>
        <w:autoSpaceDE w:val="0"/>
        <w:spacing w:line="360" w:lineRule="auto"/>
        <w:jc w:val="center"/>
      </w:pPr>
    </w:p>
    <w:p>
      <w:pPr>
        <w:autoSpaceDE w:val="0"/>
        <w:spacing w:line="360" w:lineRule="auto"/>
        <w:ind w:firstLine="422" w:firstLineChars="200"/>
        <w:rPr>
          <w:rFonts w:ascii="宋体" w:hAnsi="宋体"/>
          <w:b/>
        </w:rPr>
      </w:pPr>
      <w:r>
        <w:rPr>
          <w:rFonts w:hint="eastAsia" w:ascii="宋体" w:hAnsi="宋体"/>
          <w:b/>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b/>
        </w:rPr>
      </w:pPr>
      <w:r>
        <w:rPr>
          <w:rFonts w:hint="eastAsia" w:ascii="宋体" w:hAnsi="宋体"/>
          <w:b/>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rPr>
      </w:pPr>
      <w:r>
        <w:rPr>
          <w:rFonts w:hint="eastAsia" w:ascii="宋体" w:hAnsi="宋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rPr>
      </w:pPr>
      <w:r>
        <w:rPr>
          <w:rFonts w:hint="eastAsia" w:ascii="宋体" w:hAnsi="宋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rPr>
      </w:pPr>
    </w:p>
    <w:p>
      <w:pPr>
        <w:widowControl/>
        <w:numPr>
          <w:ilvl w:val="0"/>
          <w:numId w:val="34"/>
        </w:numPr>
        <w:autoSpaceDE w:val="0"/>
        <w:spacing w:line="360" w:lineRule="auto"/>
        <w:ind w:firstLine="422" w:firstLineChars="200"/>
        <w:rPr>
          <w:rFonts w:ascii="宋体" w:hAnsi="宋体"/>
          <w:b/>
        </w:rPr>
      </w:pPr>
      <w:r>
        <w:rPr>
          <w:rFonts w:hint="eastAsia" w:ascii="宋体" w:hAnsi="宋体"/>
          <w:b/>
        </w:rPr>
        <w:t>名词释义</w:t>
      </w:r>
    </w:p>
    <w:p>
      <w:pPr>
        <w:widowControl/>
        <w:autoSpaceDE w:val="0"/>
        <w:spacing w:line="360" w:lineRule="auto"/>
        <w:ind w:firstLine="420" w:firstLineChars="200"/>
        <w:jc w:val="left"/>
        <w:rPr>
          <w:rFonts w:ascii="宋体" w:hAnsi="宋体"/>
        </w:rPr>
      </w:pPr>
      <w:r>
        <w:rPr>
          <w:rFonts w:hint="eastAsia" w:ascii="宋体" w:hAnsi="宋体"/>
        </w:rPr>
        <w:t>详见对应期次的理财计划产品说明书“释义”部分。</w:t>
      </w:r>
    </w:p>
    <w:p>
      <w:pPr>
        <w:widowControl/>
        <w:autoSpaceDE w:val="0"/>
        <w:spacing w:line="360" w:lineRule="auto"/>
        <w:ind w:firstLine="420" w:firstLineChars="200"/>
        <w:jc w:val="left"/>
        <w:rPr>
          <w:rFonts w:ascii="宋体" w:hAnsi="宋体"/>
        </w:rPr>
      </w:pPr>
    </w:p>
    <w:p>
      <w:pPr>
        <w:widowControl/>
        <w:numPr>
          <w:ilvl w:val="0"/>
          <w:numId w:val="34"/>
        </w:numPr>
        <w:autoSpaceDE w:val="0"/>
        <w:spacing w:line="360" w:lineRule="auto"/>
        <w:ind w:firstLine="422" w:firstLineChars="200"/>
        <w:rPr>
          <w:rFonts w:ascii="宋体" w:hAnsi="宋体"/>
          <w:b/>
        </w:rPr>
      </w:pPr>
      <w:r>
        <w:rPr>
          <w:rFonts w:hint="eastAsia" w:ascii="宋体" w:hAnsi="宋体"/>
          <w:b/>
        </w:rPr>
        <w:t>投资者权利与义务</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sz w:val="21"/>
          <w:szCs w:val="21"/>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sz w:val="21"/>
          <w:szCs w:val="21"/>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sz w:val="21"/>
          <w:szCs w:val="21"/>
        </w:rPr>
        <w:t>投资者保证自身完全了解理财投资的性质，投资所涉及的风险以及自身风险承受能力，在慎重考虑后独立作出交易决定。</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b/>
          <w:sz w:val="21"/>
          <w:szCs w:val="21"/>
        </w:rPr>
        <w:t>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sz w:val="21"/>
          <w:szCs w:val="21"/>
        </w:rPr>
        <w:t>投资冷静期相关约定详见理财计划产品说明书。</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sz w:val="21"/>
          <w:szCs w:val="21"/>
        </w:rPr>
        <w:t>投资者保证其有权利签署本协议和履行本协议所述的义务，并已为此采取一切所需的行为。</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sz w:val="21"/>
          <w:szCs w:val="21"/>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b/>
          <w:sz w:val="21"/>
          <w:szCs w:val="21"/>
        </w:rPr>
        <w:t>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sz w:val="21"/>
          <w:szCs w:val="21"/>
        </w:rPr>
        <w:t>。</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sz w:val="21"/>
          <w:szCs w:val="21"/>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sz w:val="21"/>
          <w:szCs w:val="21"/>
        </w:rPr>
        <w:t xml:space="preserve">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sz w:val="21"/>
          <w:szCs w:val="21"/>
        </w:rPr>
        <w:t>本协议终止前，投资者不得将授权指定账户销户。若发生因投资者注销授权指定账户造成理财计划无法正常兑付的，代理销售机构不承担任何责任。</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sz w:val="21"/>
          <w:szCs w:val="21"/>
        </w:rPr>
        <w:t xml:space="preserve">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sz w:val="21"/>
          <w:szCs w:val="21"/>
        </w:rPr>
        <w:t>投资者对本协议及其条款负有保密义务，未经代理销售机构书面许可，不得向任何组织、个人提供或泄露与代理销售机构有关的业务资料及信息，但法律、法规另有规定的除外。</w:t>
      </w:r>
    </w:p>
    <w:p>
      <w:pPr>
        <w:pStyle w:val="10"/>
        <w:widowControl/>
        <w:numPr>
          <w:ilvl w:val="0"/>
          <w:numId w:val="35"/>
        </w:numPr>
        <w:spacing w:line="360" w:lineRule="auto"/>
        <w:contextualSpacing/>
        <w:rPr>
          <w:rFonts w:ascii="宋体" w:hAnsi="宋体" w:cs="黑体"/>
          <w:sz w:val="21"/>
          <w:szCs w:val="21"/>
        </w:rPr>
      </w:pPr>
      <w:r>
        <w:rPr>
          <w:rFonts w:hint="eastAsia" w:ascii="宋体" w:hAnsi="宋体" w:cs="黑体"/>
          <w:sz w:val="21"/>
          <w:szCs w:val="21"/>
        </w:rPr>
        <w:t>投资者进行投资时，应严格遵守反洗钱相关法规的规定，切实履行反洗钱及反恐怖融资义务。</w:t>
      </w:r>
    </w:p>
    <w:p>
      <w:pPr>
        <w:pStyle w:val="10"/>
        <w:widowControl/>
        <w:numPr>
          <w:ilvl w:val="0"/>
          <w:numId w:val="35"/>
        </w:numPr>
        <w:spacing w:line="360" w:lineRule="auto"/>
        <w:contextualSpacing/>
        <w:rPr>
          <w:rFonts w:ascii="宋体" w:hAnsi="宋体" w:cs="黑体"/>
          <w:b/>
          <w:sz w:val="21"/>
          <w:szCs w:val="21"/>
        </w:rPr>
      </w:pPr>
      <w:r>
        <w:rPr>
          <w:rFonts w:hint="eastAsia" w:ascii="宋体" w:hAnsi="宋体" w:cs="黑体"/>
          <w:b/>
          <w:sz w:val="21"/>
          <w:szCs w:val="21"/>
        </w:rPr>
        <w:t>投资者个人信息授权</w:t>
      </w:r>
    </w:p>
    <w:p>
      <w:pPr>
        <w:pStyle w:val="10"/>
        <w:widowControl/>
        <w:spacing w:line="360" w:lineRule="auto"/>
        <w:ind w:firstLine="422" w:firstLineChars="200"/>
        <w:rPr>
          <w:rFonts w:ascii="宋体" w:hAnsi="宋体" w:cs="黑体"/>
          <w:b/>
          <w:sz w:val="21"/>
          <w:szCs w:val="21"/>
        </w:rPr>
      </w:pPr>
      <w:r>
        <w:rPr>
          <w:rFonts w:hint="eastAsia" w:ascii="宋体" w:hAnsi="宋体" w:cs="黑体"/>
          <w:b/>
          <w:sz w:val="21"/>
          <w:szCs w:val="21"/>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pStyle w:val="10"/>
        <w:widowControl/>
        <w:spacing w:line="360" w:lineRule="auto"/>
        <w:ind w:firstLine="422" w:firstLineChars="200"/>
        <w:rPr>
          <w:rFonts w:ascii="宋体" w:hAnsi="宋体" w:cs="黑体"/>
          <w:b/>
          <w:sz w:val="21"/>
          <w:szCs w:val="21"/>
        </w:rPr>
      </w:pPr>
    </w:p>
    <w:p>
      <w:pPr>
        <w:widowControl/>
        <w:numPr>
          <w:ilvl w:val="0"/>
          <w:numId w:val="34"/>
        </w:numPr>
        <w:autoSpaceDE w:val="0"/>
        <w:spacing w:line="360" w:lineRule="auto"/>
        <w:ind w:firstLine="422" w:firstLineChars="200"/>
        <w:rPr>
          <w:rFonts w:ascii="宋体" w:hAnsi="宋体"/>
          <w:b/>
        </w:rPr>
      </w:pPr>
      <w:r>
        <w:rPr>
          <w:rFonts w:hint="eastAsia" w:ascii="宋体" w:hAnsi="宋体"/>
          <w:b/>
        </w:rPr>
        <w:t>代理销售机构的权利与义务</w:t>
      </w:r>
    </w:p>
    <w:p>
      <w:pPr>
        <w:pStyle w:val="10"/>
        <w:widowControl/>
        <w:numPr>
          <w:ilvl w:val="0"/>
          <w:numId w:val="36"/>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pStyle w:val="10"/>
        <w:widowControl/>
        <w:numPr>
          <w:ilvl w:val="0"/>
          <w:numId w:val="36"/>
        </w:numPr>
        <w:autoSpaceDE w:val="0"/>
        <w:spacing w:line="360" w:lineRule="auto"/>
        <w:contextualSpacing/>
        <w:jc w:val="left"/>
        <w:rPr>
          <w:rFonts w:ascii="宋体" w:hAnsi="宋体" w:cs="黑体"/>
          <w:sz w:val="21"/>
          <w:szCs w:val="21"/>
        </w:rPr>
      </w:pPr>
      <w:r>
        <w:rPr>
          <w:rFonts w:hint="eastAsia" w:ascii="宋体" w:hAnsi="宋体" w:cs="黑体"/>
          <w:b/>
          <w:sz w:val="21"/>
          <w:szCs w:val="21"/>
        </w:rPr>
        <w:t>代理销售机构非本计划的发行、管理机构，对本计划的业绩不承担任何保证和其他经济责任，不承担本计划的投资、兑付和风险管理责任</w:t>
      </w:r>
      <w:r>
        <w:rPr>
          <w:rFonts w:hint="eastAsia" w:ascii="宋体" w:hAnsi="宋体" w:cs="黑体"/>
          <w:sz w:val="21"/>
          <w:szCs w:val="21"/>
        </w:rPr>
        <w:t>。</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代理销售机构应定期对购买其代理销售的理财计划的非机构投资者进行有效风险承受能力评估，并保证向投资者推介及销售与其风险承受能力匹配的产品。</w:t>
      </w:r>
    </w:p>
    <w:p>
      <w:pPr>
        <w:pStyle w:val="10"/>
        <w:widowControl/>
        <w:numPr>
          <w:ilvl w:val="0"/>
          <w:numId w:val="36"/>
        </w:numPr>
        <w:autoSpaceDE w:val="0"/>
        <w:spacing w:line="360" w:lineRule="auto"/>
        <w:contextualSpacing/>
        <w:jc w:val="left"/>
        <w:rPr>
          <w:rFonts w:ascii="宋体" w:hAnsi="宋体" w:cs="黑体"/>
          <w:sz w:val="21"/>
          <w:szCs w:val="21"/>
        </w:rPr>
      </w:pPr>
      <w:r>
        <w:rPr>
          <w:rFonts w:hint="eastAsia" w:ascii="宋体" w:hAnsi="宋体" w:cs="黑体"/>
          <w:sz w:val="21"/>
          <w:szCs w:val="21"/>
        </w:rPr>
        <w:t>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pStyle w:val="10"/>
        <w:widowControl/>
        <w:numPr>
          <w:ilvl w:val="0"/>
          <w:numId w:val="36"/>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代理销售机构应建立健全上岗资格、持续培训、信息公示与查询核实等制度并有效执行。未经代理销售机构进行上岗资格认定并签订劳动合同，任何人员不得从事理财计划销售业务活动。</w:t>
      </w:r>
    </w:p>
    <w:p>
      <w:pPr>
        <w:pStyle w:val="10"/>
        <w:widowControl/>
        <w:numPr>
          <w:ilvl w:val="0"/>
          <w:numId w:val="36"/>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代理销售机构应对所有销售人员信息进行登记和公示。销售人员在向投资者宣传销售理财计划前进行自我介绍并告知信息查询和核实渠道，便于投资者查询核实，防止伪冒身份和虚假宣传。</w:t>
      </w:r>
    </w:p>
    <w:p>
      <w:pPr>
        <w:pStyle w:val="10"/>
        <w:widowControl/>
        <w:numPr>
          <w:ilvl w:val="0"/>
          <w:numId w:val="36"/>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代理销售机构对投资者负有信息保密义务，未经投资者书面许可，乙方不得向任何组织、个人提供或泄露与甲方有关的业务资料及信息，但法律、法规另有规定的除外。</w:t>
      </w:r>
    </w:p>
    <w:p>
      <w:pPr>
        <w:pStyle w:val="10"/>
        <w:widowControl/>
        <w:numPr>
          <w:ilvl w:val="0"/>
          <w:numId w:val="36"/>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代理销售机构应按照法律法规、监管规定、理财计划合同的约定收取销售费用，并如实核算、记账。未经载明，不得对不同投资者适用不同费率。</w:t>
      </w:r>
    </w:p>
    <w:p>
      <w:pPr>
        <w:pStyle w:val="10"/>
        <w:widowControl/>
        <w:numPr>
          <w:ilvl w:val="0"/>
          <w:numId w:val="36"/>
        </w:numPr>
        <w:autoSpaceDE w:val="0"/>
        <w:spacing w:line="360" w:lineRule="auto"/>
        <w:contextualSpacing/>
        <w:jc w:val="left"/>
        <w:rPr>
          <w:rFonts w:ascii="宋体" w:hAnsi="宋体" w:cs="黑体"/>
          <w:sz w:val="21"/>
          <w:szCs w:val="21"/>
        </w:rPr>
      </w:pPr>
      <w:r>
        <w:rPr>
          <w:rFonts w:hint="eastAsia" w:ascii="宋体" w:hAnsi="宋体" w:cs="黑体"/>
          <w:sz w:val="21"/>
          <w:szCs w:val="21"/>
        </w:rPr>
        <w:t>理财计划销售结算资金属于理财计划投资者，代理销售机构不得挪用理财计划销售结算资金或将理财计划销售结算资金归入自有资产。</w:t>
      </w:r>
    </w:p>
    <w:p>
      <w:pPr>
        <w:pStyle w:val="10"/>
        <w:widowControl/>
        <w:numPr>
          <w:ilvl w:val="0"/>
          <w:numId w:val="36"/>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代理销售机构应遵守相关法律、法规、监管规定及理财计划合同约定，诚实守信、勤勉尽责，向购买理财计划的投资者充分传递管理人披露的产品相关信息并进行充分的风险揭示。</w:t>
      </w:r>
    </w:p>
    <w:p>
      <w:pPr>
        <w:pStyle w:val="10"/>
        <w:widowControl/>
        <w:numPr>
          <w:ilvl w:val="0"/>
          <w:numId w:val="36"/>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代理销售机构应当充分利用科技手段，加强对伪冒网站、伪冒产品等监测，有效防范各类欺诈风险。</w:t>
      </w:r>
    </w:p>
    <w:p>
      <w:pPr>
        <w:pStyle w:val="10"/>
        <w:widowControl/>
        <w:autoSpaceDE w:val="0"/>
        <w:spacing w:line="360" w:lineRule="auto"/>
        <w:ind w:left="482"/>
        <w:contextualSpacing/>
        <w:jc w:val="left"/>
        <w:rPr>
          <w:rFonts w:ascii="宋体" w:hAnsi="宋体" w:cs="黑体"/>
          <w:b/>
          <w:sz w:val="21"/>
          <w:szCs w:val="21"/>
        </w:rPr>
      </w:pPr>
    </w:p>
    <w:p>
      <w:pPr>
        <w:widowControl/>
        <w:numPr>
          <w:ilvl w:val="0"/>
          <w:numId w:val="34"/>
        </w:numPr>
        <w:autoSpaceDE w:val="0"/>
        <w:spacing w:line="360" w:lineRule="auto"/>
        <w:ind w:firstLine="422" w:firstLineChars="200"/>
        <w:rPr>
          <w:rFonts w:ascii="宋体" w:hAnsi="宋体"/>
          <w:b/>
        </w:rPr>
      </w:pPr>
      <w:r>
        <w:rPr>
          <w:rFonts w:hint="eastAsia" w:ascii="宋体" w:hAnsi="宋体"/>
          <w:b/>
        </w:rPr>
        <w:t>理财计划认（申）购、赎回及终止</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理财计划认/申购办理流程：参照投资者权益须知约定。 </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理财计划认/申购确认：管理人根据代理销售渠道提供的交易信息及资金划付对投资者相应认/申购进行确认。</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理财计划投资品种、投资起点金额、收益支付方式：参照对应期次的理财计划产品说明书中的条款约定。 </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pStyle w:val="10"/>
        <w:widowControl/>
        <w:autoSpaceDE w:val="0"/>
        <w:spacing w:line="360" w:lineRule="auto"/>
        <w:ind w:left="178" w:leftChars="85"/>
        <w:contextualSpacing/>
        <w:rPr>
          <w:rFonts w:ascii="宋体" w:hAnsi="宋体" w:cs="黑体"/>
          <w:b/>
          <w:sz w:val="21"/>
          <w:szCs w:val="21"/>
        </w:rPr>
      </w:pPr>
    </w:p>
    <w:p>
      <w:pPr>
        <w:widowControl/>
        <w:numPr>
          <w:ilvl w:val="0"/>
          <w:numId w:val="34"/>
        </w:numPr>
        <w:autoSpaceDE w:val="0"/>
        <w:spacing w:line="360" w:lineRule="auto"/>
        <w:ind w:firstLine="422" w:firstLineChars="200"/>
        <w:rPr>
          <w:rFonts w:ascii="宋体" w:hAnsi="宋体"/>
          <w:b/>
        </w:rPr>
      </w:pPr>
      <w:r>
        <w:rPr>
          <w:rFonts w:hint="eastAsia" w:ascii="宋体" w:hAnsi="宋体"/>
          <w:b/>
        </w:rPr>
        <w:t>违约责任及免责条款</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若由于代理销售机构过错导致理财计划资产发生损失，代理销售机构应按其过错承担赔偿责任，代理销售机构赔偿的款项计入理财计划的资产和收益。</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因国家有关法律、法规、规章、政策的修改或新的法律、法规、规章、政策颁布以及紧急措施的出台导致的风险及损失，代理销售机构不承担责任。</w:t>
      </w:r>
    </w:p>
    <w:p>
      <w:pPr>
        <w:pStyle w:val="10"/>
        <w:widowControl/>
        <w:autoSpaceDE w:val="0"/>
        <w:spacing w:line="360" w:lineRule="auto"/>
        <w:rPr>
          <w:rFonts w:ascii="宋体" w:hAnsi="宋体" w:cs="黑体"/>
          <w:b/>
          <w:sz w:val="21"/>
          <w:szCs w:val="21"/>
        </w:rPr>
      </w:pPr>
    </w:p>
    <w:p>
      <w:pPr>
        <w:widowControl/>
        <w:numPr>
          <w:ilvl w:val="0"/>
          <w:numId w:val="34"/>
        </w:numPr>
        <w:autoSpaceDE w:val="0"/>
        <w:spacing w:line="360" w:lineRule="auto"/>
        <w:ind w:firstLine="422" w:firstLineChars="200"/>
        <w:rPr>
          <w:rFonts w:ascii="宋体" w:hAnsi="宋体"/>
          <w:b/>
        </w:rPr>
      </w:pPr>
      <w:r>
        <w:rPr>
          <w:rFonts w:hint="eastAsia" w:ascii="宋体" w:hAnsi="宋体"/>
          <w:b/>
        </w:rPr>
        <w:t>适用法律与争议解决</w:t>
      </w:r>
    </w:p>
    <w:p>
      <w:pPr>
        <w:pStyle w:val="10"/>
        <w:widowControl/>
        <w:autoSpaceDE w:val="0"/>
        <w:spacing w:line="360" w:lineRule="auto"/>
        <w:ind w:firstLine="420" w:firstLineChars="200"/>
        <w:rPr>
          <w:rFonts w:ascii="宋体" w:hAnsi="宋体" w:cs="黑体"/>
          <w:sz w:val="21"/>
          <w:szCs w:val="21"/>
        </w:rPr>
      </w:pPr>
      <w:r>
        <w:rPr>
          <w:rFonts w:hint="eastAsia" w:ascii="宋体" w:hAnsi="宋体" w:cs="黑体"/>
          <w:sz w:val="21"/>
          <w:szCs w:val="21"/>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pStyle w:val="10"/>
        <w:widowControl/>
        <w:autoSpaceDE w:val="0"/>
        <w:spacing w:line="360" w:lineRule="auto"/>
        <w:ind w:firstLine="422" w:firstLineChars="200"/>
        <w:rPr>
          <w:rFonts w:ascii="宋体" w:hAnsi="宋体" w:cs="黑体"/>
          <w:b/>
          <w:sz w:val="21"/>
          <w:szCs w:val="21"/>
        </w:rPr>
      </w:pPr>
    </w:p>
    <w:p>
      <w:pPr>
        <w:widowControl/>
        <w:numPr>
          <w:ilvl w:val="0"/>
          <w:numId w:val="34"/>
        </w:numPr>
        <w:autoSpaceDE w:val="0"/>
        <w:spacing w:line="360" w:lineRule="auto"/>
        <w:ind w:firstLine="422" w:firstLineChars="200"/>
        <w:rPr>
          <w:rFonts w:ascii="宋体" w:hAnsi="宋体"/>
          <w:b/>
        </w:rPr>
      </w:pPr>
      <w:r>
        <w:rPr>
          <w:rFonts w:hint="eastAsia" w:ascii="宋体" w:hAnsi="宋体"/>
          <w:b/>
        </w:rPr>
        <w:t>协议生效和终止</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 xml:space="preserve">投资者和代理销售机构双方认可本协议可以纸质或电子数据等形式提交、订立或确认。 </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 xml:space="preserve">本协议书以纸质书面形式订立的，自投资者签字和代理销售机构签章之后立即生效。协议一式叁份，投资者、管理人和代理销售机构各执壹份，具有同等法律效力。 </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投资者和代理销售机构双方在本协议及对应期次的理财计划产品说明书项下权利义务履行完毕之日，本协议自动终止。</w:t>
      </w:r>
    </w:p>
    <w:p>
      <w:pPr>
        <w:pStyle w:val="10"/>
        <w:widowControl/>
        <w:autoSpaceDE w:val="0"/>
        <w:spacing w:line="360" w:lineRule="auto"/>
        <w:ind w:left="420"/>
        <w:contextualSpacing/>
        <w:rPr>
          <w:rFonts w:ascii="宋体" w:hAnsi="宋体" w:cs="黑体"/>
          <w:sz w:val="21"/>
          <w:szCs w:val="21"/>
        </w:rPr>
      </w:pPr>
    </w:p>
    <w:p>
      <w:pPr>
        <w:widowControl/>
        <w:numPr>
          <w:ilvl w:val="0"/>
          <w:numId w:val="34"/>
        </w:numPr>
        <w:autoSpaceDE w:val="0"/>
        <w:spacing w:line="360" w:lineRule="auto"/>
        <w:ind w:firstLine="422" w:firstLineChars="200"/>
        <w:rPr>
          <w:rFonts w:ascii="宋体" w:hAnsi="宋体"/>
          <w:b/>
        </w:rPr>
      </w:pPr>
      <w:r>
        <w:rPr>
          <w:rFonts w:hint="eastAsia" w:ascii="宋体" w:hAnsi="宋体"/>
          <w:b/>
        </w:rPr>
        <w:t xml:space="preserve">附则 </w:t>
      </w:r>
    </w:p>
    <w:p>
      <w:pPr>
        <w:pStyle w:val="10"/>
        <w:widowControl/>
        <w:numPr>
          <w:ilvl w:val="0"/>
          <w:numId w:val="40"/>
        </w:numPr>
        <w:autoSpaceDE w:val="0"/>
        <w:spacing w:line="360" w:lineRule="auto"/>
        <w:contextualSpacing/>
        <w:rPr>
          <w:rFonts w:ascii="宋体" w:hAnsi="宋体" w:cs="黑体"/>
          <w:sz w:val="21"/>
          <w:szCs w:val="21"/>
        </w:rPr>
      </w:pPr>
      <w:r>
        <w:rPr>
          <w:rFonts w:hint="eastAsia" w:ascii="宋体" w:hAnsi="宋体" w:cs="黑体"/>
          <w:sz w:val="21"/>
          <w:szCs w:val="21"/>
        </w:rPr>
        <w:t>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pStyle w:val="10"/>
        <w:widowControl/>
        <w:numPr>
          <w:ilvl w:val="0"/>
          <w:numId w:val="40"/>
        </w:numPr>
        <w:autoSpaceDE w:val="0"/>
        <w:spacing w:line="360" w:lineRule="auto"/>
        <w:contextualSpacing/>
        <w:rPr>
          <w:rFonts w:ascii="宋体" w:hAnsi="宋体" w:cs="黑体"/>
          <w:sz w:val="21"/>
          <w:szCs w:val="21"/>
        </w:rPr>
      </w:pPr>
      <w:r>
        <w:rPr>
          <w:rFonts w:hint="eastAsia" w:ascii="宋体" w:hAnsi="宋体" w:cs="黑体"/>
          <w:sz w:val="21"/>
          <w:szCs w:val="21"/>
        </w:rPr>
        <w:t>如果由于任何原因使本合同下的任何条款或内容成为无效或被依法撤销，本合同其他条款或内容的合法性、有效性和可执行性不受影响。</w:t>
      </w:r>
    </w:p>
    <w:p>
      <w:pPr>
        <w:pStyle w:val="10"/>
        <w:widowControl/>
        <w:numPr>
          <w:ilvl w:val="0"/>
          <w:numId w:val="40"/>
        </w:numPr>
        <w:autoSpaceDE w:val="0"/>
        <w:spacing w:line="360" w:lineRule="auto"/>
        <w:contextualSpacing/>
        <w:rPr>
          <w:rFonts w:ascii="宋体" w:hAnsi="宋体" w:cs="宋体"/>
          <w:sz w:val="21"/>
          <w:szCs w:val="21"/>
        </w:rPr>
      </w:pPr>
      <w:r>
        <w:rPr>
          <w:rFonts w:hint="eastAsia" w:ascii="宋体" w:hAnsi="宋体" w:cs="黑体"/>
          <w:sz w:val="21"/>
          <w:szCs w:val="21"/>
        </w:rPr>
        <w:t>在理财计划存续期内，如因监管政策或法律法规发生变化，在不损害投资者利益的前提下，管理人有权单方对理财计划合同销售文件进行修订。</w:t>
      </w:r>
    </w:p>
    <w:p>
      <w:pPr>
        <w:pStyle w:val="10"/>
        <w:widowControl/>
        <w:tabs>
          <w:tab w:val="left" w:pos="0"/>
        </w:tabs>
        <w:autoSpaceDE w:val="0"/>
        <w:spacing w:line="360" w:lineRule="auto"/>
        <w:ind w:left="420"/>
        <w:contextualSpacing/>
        <w:rPr>
          <w:rFonts w:ascii="宋体" w:hAnsi="宋体" w:cs="宋体"/>
          <w:sz w:val="21"/>
          <w:szCs w:val="21"/>
        </w:rPr>
      </w:pPr>
    </w:p>
    <w:p>
      <w:pPr>
        <w:widowControl/>
        <w:spacing w:line="360" w:lineRule="auto"/>
        <w:jc w:val="right"/>
        <w:rPr>
          <w:rFonts w:ascii="宋体" w:hAnsi="宋体" w:cs="宋体"/>
          <w:color w:val="000000"/>
          <w:kern w:val="0"/>
        </w:rPr>
      </w:pPr>
      <w:r>
        <w:rPr>
          <w:rFonts w:hint="eastAsia" w:ascii="宋体" w:hAnsi="宋体" w:cs="宋体"/>
          <w:kern w:val="0"/>
        </w:rPr>
        <w:t>杭银理财有限责任公司</w:t>
      </w:r>
    </w:p>
    <w:p>
      <w:pPr>
        <w:spacing w:line="360" w:lineRule="auto"/>
        <w:rPr>
          <w:rFonts w:ascii="宋体" w:hAnsi="宋体"/>
        </w:rPr>
      </w:pPr>
      <w:r>
        <w:rPr>
          <w:rFonts w:hint="eastAsia" w:ascii="宋体" w:hAnsi="宋体" w:cs="Times New Roman"/>
          <w:color w:val="000000"/>
        </w:rPr>
        <w:br w:type="page"/>
      </w:r>
      <w:r>
        <w:rPr>
          <w:rFonts w:hint="eastAsia" w:ascii="宋体" w:hAnsi="宋体"/>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b/>
        </w:rPr>
      </w:pPr>
      <w:r>
        <w:rPr>
          <w:rFonts w:hint="eastAsia" w:ascii="宋体" w:hAnsi="宋体"/>
          <w:b/>
        </w:rPr>
        <w:t>投资者（签字）：</w:t>
      </w:r>
    </w:p>
    <w:p>
      <w:pPr>
        <w:spacing w:before="156" w:beforeLines="50" w:after="156" w:afterLines="50" w:line="360" w:lineRule="auto"/>
        <w:ind w:firstLine="4200" w:firstLineChars="2000"/>
        <w:jc w:val="right"/>
        <w:rPr>
          <w:rFonts w:ascii="Arial" w:hAnsi="Arial" w:cs="Times New Roman"/>
        </w:rPr>
      </w:pPr>
      <w:r>
        <w:rPr>
          <w:rFonts w:hint="eastAsia" w:ascii="Arial" w:hAnsi="Arial" w:cs="宋体"/>
        </w:rPr>
        <w:t>年    月   日</w:t>
      </w: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r>
        <w:rPr>
          <w:rFonts w:hint="eastAsia" w:ascii="宋体" w:hAnsi="宋体"/>
          <w:b/>
        </w:rPr>
        <w:t>代理销售机构签章：</w:t>
      </w:r>
    </w:p>
    <w:p>
      <w:pPr>
        <w:spacing w:line="360" w:lineRule="auto"/>
        <w:rPr>
          <w:rFonts w:ascii="宋体" w:hAnsi="宋体"/>
          <w:b/>
        </w:rPr>
      </w:pPr>
    </w:p>
    <w:p>
      <w:pPr>
        <w:spacing w:line="360" w:lineRule="auto"/>
        <w:rPr>
          <w:rFonts w:ascii="宋体" w:hAnsi="宋体"/>
          <w:b/>
        </w:rPr>
      </w:pPr>
    </w:p>
    <w:p>
      <w:pPr>
        <w:spacing w:line="520" w:lineRule="exact"/>
        <w:ind w:firstLine="424" w:firstLineChars="202"/>
        <w:rPr>
          <w:rFonts w:hint="eastAsia" w:ascii="宋体" w:hAnsi="Wingdings" w:cs="宋体"/>
          <w:color w:val="000000"/>
          <w:kern w:val="0"/>
        </w:rPr>
      </w:pPr>
      <w:r>
        <w:rPr>
          <w:rFonts w:hint="eastAsia" w:ascii="Arial" w:hAnsi="Arial" w:cs="宋体"/>
        </w:rPr>
        <w:t>年    月   日</w:t>
      </w:r>
    </w:p>
    <w:p>
      <w:pPr>
        <w:spacing w:line="520" w:lineRule="exact"/>
        <w:ind w:firstLine="424" w:firstLineChars="202"/>
        <w:rPr>
          <w:rFonts w:hint="eastAsia" w:ascii="宋体" w:hAnsi="Wingdings" w:cs="宋体"/>
          <w:color w:val="000000"/>
          <w:kern w:val="0"/>
        </w:rPr>
      </w:pPr>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3073"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18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43DA9"/>
    <w:multiLevelType w:val="singleLevel"/>
    <w:tmpl w:val="A3D43DA9"/>
    <w:lvl w:ilvl="0" w:tentative="0">
      <w:start w:val="5"/>
      <w:numFmt w:val="decimal"/>
      <w:suff w:val="space"/>
      <w:lvlText w:val="%1."/>
      <w:lvlJc w:val="left"/>
    </w:lvl>
  </w:abstractNum>
  <w:abstractNum w:abstractNumId="1">
    <w:nsid w:val="AC06F53F"/>
    <w:multiLevelType w:val="multilevel"/>
    <w:tmpl w:val="AC06F53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3339662"/>
    <w:multiLevelType w:val="multilevel"/>
    <w:tmpl w:val="B3339662"/>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3DD4737"/>
    <w:multiLevelType w:val="multilevel"/>
    <w:tmpl w:val="F3DD4737"/>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F72BC498"/>
    <w:multiLevelType w:val="multilevel"/>
    <w:tmpl w:val="F72BC498"/>
    <w:lvl w:ilvl="0" w:tentative="0">
      <w:start w:val="1"/>
      <w:numFmt w:val="chineseCounting"/>
      <w:suff w:val="space"/>
      <w:lvlText w:val="第%1条"/>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6247AAE"/>
    <w:multiLevelType w:val="multilevel"/>
    <w:tmpl w:val="06247AAE"/>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147E51E6"/>
    <w:multiLevelType w:val="multilevel"/>
    <w:tmpl w:val="147E51E6"/>
    <w:lvl w:ilvl="0" w:tentative="0">
      <w:start w:val="1"/>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6713138"/>
    <w:multiLevelType w:val="multilevel"/>
    <w:tmpl w:val="16713138"/>
    <w:lvl w:ilvl="0" w:tentative="0">
      <w:start w:val="3"/>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2">
    <w:nsid w:val="1A14F15A"/>
    <w:multiLevelType w:val="multilevel"/>
    <w:tmpl w:val="1A14F15A"/>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B720CFF"/>
    <w:multiLevelType w:val="multilevel"/>
    <w:tmpl w:val="1B720CFF"/>
    <w:lvl w:ilvl="0" w:tentative="0">
      <w:start w:val="2"/>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E39BB33"/>
    <w:multiLevelType w:val="singleLevel"/>
    <w:tmpl w:val="1E39BB33"/>
    <w:lvl w:ilvl="0" w:tentative="0">
      <w:start w:val="2"/>
      <w:numFmt w:val="decimal"/>
      <w:suff w:val="space"/>
      <w:lvlText w:val="%1."/>
      <w:lvlJc w:val="left"/>
    </w:lvl>
  </w:abstractNum>
  <w:abstractNum w:abstractNumId="1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6">
    <w:nsid w:val="22961531"/>
    <w:multiLevelType w:val="multilevel"/>
    <w:tmpl w:val="22961531"/>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9">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1">
    <w:nsid w:val="2FC8541D"/>
    <w:multiLevelType w:val="multilevel"/>
    <w:tmpl w:val="2FC8541D"/>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335C0F0E"/>
    <w:multiLevelType w:val="multilevel"/>
    <w:tmpl w:val="335C0F0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356478AA"/>
    <w:multiLevelType w:val="multilevel"/>
    <w:tmpl w:val="356478AA"/>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31AE820"/>
    <w:multiLevelType w:val="multilevel"/>
    <w:tmpl w:val="531AE820"/>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5404F3FF"/>
    <w:multiLevelType w:val="singleLevel"/>
    <w:tmpl w:val="5404F3FF"/>
    <w:lvl w:ilvl="0" w:tentative="0">
      <w:start w:val="1"/>
      <w:numFmt w:val="chineseCounting"/>
      <w:suff w:val="nothing"/>
      <w:lvlText w:val="（%1）"/>
      <w:lvlJc w:val="left"/>
      <w:rPr>
        <w:rFonts w:hint="eastAsia"/>
      </w:rPr>
    </w:lvl>
  </w:abstractNum>
  <w:abstractNum w:abstractNumId="28">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0">
    <w:nsid w:val="579E11A2"/>
    <w:multiLevelType w:val="multilevel"/>
    <w:tmpl w:val="579E11A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5B87B9D3"/>
    <w:multiLevelType w:val="singleLevel"/>
    <w:tmpl w:val="5B87B9D3"/>
    <w:lvl w:ilvl="0" w:tentative="0">
      <w:start w:val="4"/>
      <w:numFmt w:val="chineseCounting"/>
      <w:suff w:val="nothing"/>
      <w:lvlText w:val="（%1）"/>
      <w:lvlJc w:val="left"/>
    </w:lvl>
  </w:abstractNum>
  <w:abstractNum w:abstractNumId="32">
    <w:nsid w:val="68F71E4A"/>
    <w:multiLevelType w:val="multilevel"/>
    <w:tmpl w:val="68F71E4A"/>
    <w:lvl w:ilvl="0" w:tentative="0">
      <w:start w:val="4"/>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6A34D7DB"/>
    <w:multiLevelType w:val="singleLevel"/>
    <w:tmpl w:val="6A34D7DB"/>
    <w:lvl w:ilvl="0" w:tentative="0">
      <w:start w:val="1"/>
      <w:numFmt w:val="decimal"/>
      <w:lvlText w:val="%1."/>
      <w:lvlJc w:val="left"/>
      <w:pPr>
        <w:tabs>
          <w:tab w:val="left" w:pos="312"/>
        </w:tabs>
      </w:pPr>
    </w:lvl>
  </w:abstractNum>
  <w:abstractNum w:abstractNumId="34">
    <w:nsid w:val="6FD4618F"/>
    <w:multiLevelType w:val="multilevel"/>
    <w:tmpl w:val="6FD4618F"/>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00C5828"/>
    <w:multiLevelType w:val="multilevel"/>
    <w:tmpl w:val="700C5828"/>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73C633A9"/>
    <w:multiLevelType w:val="multilevel"/>
    <w:tmpl w:val="73C633A9"/>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78117D03"/>
    <w:multiLevelType w:val="multilevel"/>
    <w:tmpl w:val="78117D03"/>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9">
    <w:nsid w:val="7FBE672B"/>
    <w:multiLevelType w:val="multilevel"/>
    <w:tmpl w:val="7FBE672B"/>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5"/>
  </w:num>
  <w:num w:numId="2">
    <w:abstractNumId w:val="33"/>
  </w:num>
  <w:num w:numId="3">
    <w:abstractNumId w:val="31"/>
  </w:num>
  <w:num w:numId="4">
    <w:abstractNumId w:val="14"/>
  </w:num>
  <w:num w:numId="5">
    <w:abstractNumId w:val="24"/>
  </w:num>
  <w:num w:numId="6">
    <w:abstractNumId w:val="0"/>
  </w:num>
  <w:num w:numId="7">
    <w:abstractNumId w:val="6"/>
  </w:num>
  <w:num w:numId="8">
    <w:abstractNumId w:val="19"/>
  </w:num>
  <w:num w:numId="9">
    <w:abstractNumId w:val="8"/>
  </w:num>
  <w:num w:numId="10">
    <w:abstractNumId w:val="18"/>
  </w:num>
  <w:num w:numId="11">
    <w:abstractNumId w:val="20"/>
  </w:num>
  <w:num w:numId="12">
    <w:abstractNumId w:val="38"/>
  </w:num>
  <w:num w:numId="13">
    <w:abstractNumId w:val="11"/>
  </w:num>
  <w:num w:numId="14">
    <w:abstractNumId w:val="28"/>
  </w:num>
  <w:num w:numId="15">
    <w:abstractNumId w:val="29"/>
  </w:num>
  <w:num w:numId="16">
    <w:abstractNumId w:val="15"/>
  </w:num>
  <w:num w:numId="17">
    <w:abstractNumId w:val="2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
  </w:num>
  <w:num w:numId="36">
    <w:abstractNumId w:val="1"/>
  </w:num>
  <w:num w:numId="37">
    <w:abstractNumId w:val="26"/>
  </w:num>
  <w:num w:numId="38">
    <w:abstractNumId w:val="3"/>
  </w:num>
  <w:num w:numId="39">
    <w:abstractNumId w:val="1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attachedTemplate r:id="rId1"/>
  <w:documentProtection w:edit="forms"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25B"/>
    <w:rsid w:val="000074CB"/>
    <w:rsid w:val="00016DEF"/>
    <w:rsid w:val="0003494A"/>
    <w:rsid w:val="00036C6B"/>
    <w:rsid w:val="0004400E"/>
    <w:rsid w:val="000609C9"/>
    <w:rsid w:val="000A03E4"/>
    <w:rsid w:val="000A191B"/>
    <w:rsid w:val="000B0053"/>
    <w:rsid w:val="000B1CF9"/>
    <w:rsid w:val="000B1EBB"/>
    <w:rsid w:val="000B5964"/>
    <w:rsid w:val="000D706F"/>
    <w:rsid w:val="000E0C80"/>
    <w:rsid w:val="000E1225"/>
    <w:rsid w:val="000E251A"/>
    <w:rsid w:val="00102B1D"/>
    <w:rsid w:val="00104207"/>
    <w:rsid w:val="00106F8A"/>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0472"/>
    <w:rsid w:val="001B1761"/>
    <w:rsid w:val="001B2DF4"/>
    <w:rsid w:val="001B3F9D"/>
    <w:rsid w:val="001C0514"/>
    <w:rsid w:val="001D1ADF"/>
    <w:rsid w:val="001D237B"/>
    <w:rsid w:val="001D566A"/>
    <w:rsid w:val="001D7128"/>
    <w:rsid w:val="001E38D0"/>
    <w:rsid w:val="001E3F30"/>
    <w:rsid w:val="001F29C9"/>
    <w:rsid w:val="00210B24"/>
    <w:rsid w:val="00211131"/>
    <w:rsid w:val="00223672"/>
    <w:rsid w:val="00223734"/>
    <w:rsid w:val="002244F2"/>
    <w:rsid w:val="002256AF"/>
    <w:rsid w:val="002325B7"/>
    <w:rsid w:val="00237C4A"/>
    <w:rsid w:val="00242BAA"/>
    <w:rsid w:val="002470B8"/>
    <w:rsid w:val="002479C3"/>
    <w:rsid w:val="0027745F"/>
    <w:rsid w:val="002952E7"/>
    <w:rsid w:val="00297F9D"/>
    <w:rsid w:val="002A0433"/>
    <w:rsid w:val="002A272B"/>
    <w:rsid w:val="002B065D"/>
    <w:rsid w:val="002B6E5C"/>
    <w:rsid w:val="002C1918"/>
    <w:rsid w:val="002C7990"/>
    <w:rsid w:val="002D09F6"/>
    <w:rsid w:val="002D235A"/>
    <w:rsid w:val="002E15F9"/>
    <w:rsid w:val="002E6900"/>
    <w:rsid w:val="00307948"/>
    <w:rsid w:val="00320468"/>
    <w:rsid w:val="003228FE"/>
    <w:rsid w:val="00331D83"/>
    <w:rsid w:val="0035187C"/>
    <w:rsid w:val="0035659B"/>
    <w:rsid w:val="00361973"/>
    <w:rsid w:val="00365440"/>
    <w:rsid w:val="00367EA2"/>
    <w:rsid w:val="00375348"/>
    <w:rsid w:val="0038273A"/>
    <w:rsid w:val="00384A29"/>
    <w:rsid w:val="003A539B"/>
    <w:rsid w:val="003B0D21"/>
    <w:rsid w:val="003B2DFE"/>
    <w:rsid w:val="003B3810"/>
    <w:rsid w:val="003B5FDA"/>
    <w:rsid w:val="003B6960"/>
    <w:rsid w:val="003B72A8"/>
    <w:rsid w:val="003D37F3"/>
    <w:rsid w:val="003D39F2"/>
    <w:rsid w:val="003E5AF8"/>
    <w:rsid w:val="003F357F"/>
    <w:rsid w:val="003F481E"/>
    <w:rsid w:val="003F5069"/>
    <w:rsid w:val="004036BF"/>
    <w:rsid w:val="004039EF"/>
    <w:rsid w:val="00416162"/>
    <w:rsid w:val="004228DA"/>
    <w:rsid w:val="00427991"/>
    <w:rsid w:val="004310E7"/>
    <w:rsid w:val="004316D0"/>
    <w:rsid w:val="00435D3F"/>
    <w:rsid w:val="0044304F"/>
    <w:rsid w:val="004431A1"/>
    <w:rsid w:val="004514C8"/>
    <w:rsid w:val="0045182C"/>
    <w:rsid w:val="00451910"/>
    <w:rsid w:val="004532E9"/>
    <w:rsid w:val="00454783"/>
    <w:rsid w:val="00473DB7"/>
    <w:rsid w:val="00483AEC"/>
    <w:rsid w:val="00493C19"/>
    <w:rsid w:val="0049467D"/>
    <w:rsid w:val="00494B69"/>
    <w:rsid w:val="00496C62"/>
    <w:rsid w:val="004975FD"/>
    <w:rsid w:val="004A46C8"/>
    <w:rsid w:val="004B15EB"/>
    <w:rsid w:val="004C4787"/>
    <w:rsid w:val="004C4B64"/>
    <w:rsid w:val="004D66F1"/>
    <w:rsid w:val="004D6A45"/>
    <w:rsid w:val="004D704D"/>
    <w:rsid w:val="004E0BEC"/>
    <w:rsid w:val="004E2F89"/>
    <w:rsid w:val="004E5D5E"/>
    <w:rsid w:val="004F3050"/>
    <w:rsid w:val="004F3D2D"/>
    <w:rsid w:val="005056AF"/>
    <w:rsid w:val="0051217C"/>
    <w:rsid w:val="00514F54"/>
    <w:rsid w:val="00523DCE"/>
    <w:rsid w:val="005400CC"/>
    <w:rsid w:val="005477C0"/>
    <w:rsid w:val="00553C91"/>
    <w:rsid w:val="00555622"/>
    <w:rsid w:val="0055632F"/>
    <w:rsid w:val="0056715F"/>
    <w:rsid w:val="00567FC0"/>
    <w:rsid w:val="005819B9"/>
    <w:rsid w:val="00581BD2"/>
    <w:rsid w:val="0058288B"/>
    <w:rsid w:val="00587CF5"/>
    <w:rsid w:val="00587D42"/>
    <w:rsid w:val="005A3ADE"/>
    <w:rsid w:val="005A7AAD"/>
    <w:rsid w:val="005B0EBD"/>
    <w:rsid w:val="005B1F0B"/>
    <w:rsid w:val="005B22CD"/>
    <w:rsid w:val="005D0E2E"/>
    <w:rsid w:val="005D1025"/>
    <w:rsid w:val="005E5D3A"/>
    <w:rsid w:val="005E5EA5"/>
    <w:rsid w:val="005E7CF4"/>
    <w:rsid w:val="005F1215"/>
    <w:rsid w:val="005F2A21"/>
    <w:rsid w:val="00610019"/>
    <w:rsid w:val="006154E3"/>
    <w:rsid w:val="00621A1C"/>
    <w:rsid w:val="00625776"/>
    <w:rsid w:val="00644885"/>
    <w:rsid w:val="006570EB"/>
    <w:rsid w:val="00662E82"/>
    <w:rsid w:val="00671719"/>
    <w:rsid w:val="006743C1"/>
    <w:rsid w:val="00676A98"/>
    <w:rsid w:val="00681C0C"/>
    <w:rsid w:val="00696927"/>
    <w:rsid w:val="006A2B09"/>
    <w:rsid w:val="006A677E"/>
    <w:rsid w:val="006B4663"/>
    <w:rsid w:val="006C103F"/>
    <w:rsid w:val="006C21C7"/>
    <w:rsid w:val="006C64B9"/>
    <w:rsid w:val="006C7B62"/>
    <w:rsid w:val="006D5112"/>
    <w:rsid w:val="006E4BB6"/>
    <w:rsid w:val="006E4CDD"/>
    <w:rsid w:val="006E51ED"/>
    <w:rsid w:val="006E63CC"/>
    <w:rsid w:val="006F6194"/>
    <w:rsid w:val="00700EDD"/>
    <w:rsid w:val="00702CDC"/>
    <w:rsid w:val="00707360"/>
    <w:rsid w:val="00721B8F"/>
    <w:rsid w:val="00723931"/>
    <w:rsid w:val="00737083"/>
    <w:rsid w:val="00742E8B"/>
    <w:rsid w:val="007604FB"/>
    <w:rsid w:val="00763431"/>
    <w:rsid w:val="00766E4D"/>
    <w:rsid w:val="007672AB"/>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816222"/>
    <w:rsid w:val="00832AD7"/>
    <w:rsid w:val="00843CFD"/>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4802"/>
    <w:rsid w:val="008D1673"/>
    <w:rsid w:val="008D2F69"/>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6259A"/>
    <w:rsid w:val="00984B2D"/>
    <w:rsid w:val="009858B4"/>
    <w:rsid w:val="00994D9E"/>
    <w:rsid w:val="009A1F15"/>
    <w:rsid w:val="009B1178"/>
    <w:rsid w:val="009C42ED"/>
    <w:rsid w:val="009C4710"/>
    <w:rsid w:val="009D4471"/>
    <w:rsid w:val="009D5443"/>
    <w:rsid w:val="009E4B6C"/>
    <w:rsid w:val="009E7D2F"/>
    <w:rsid w:val="009F27CB"/>
    <w:rsid w:val="00A02EC9"/>
    <w:rsid w:val="00A05D0A"/>
    <w:rsid w:val="00A06CC7"/>
    <w:rsid w:val="00A12D67"/>
    <w:rsid w:val="00A13E04"/>
    <w:rsid w:val="00A14885"/>
    <w:rsid w:val="00A20A90"/>
    <w:rsid w:val="00A33FC7"/>
    <w:rsid w:val="00A377BE"/>
    <w:rsid w:val="00A37E45"/>
    <w:rsid w:val="00A4139F"/>
    <w:rsid w:val="00A53627"/>
    <w:rsid w:val="00A6012C"/>
    <w:rsid w:val="00A630D8"/>
    <w:rsid w:val="00A649D3"/>
    <w:rsid w:val="00A661D7"/>
    <w:rsid w:val="00A720AA"/>
    <w:rsid w:val="00A753E0"/>
    <w:rsid w:val="00A852DE"/>
    <w:rsid w:val="00AB38E1"/>
    <w:rsid w:val="00AC4B09"/>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6032F"/>
    <w:rsid w:val="00B728F3"/>
    <w:rsid w:val="00B77569"/>
    <w:rsid w:val="00B9230B"/>
    <w:rsid w:val="00BB0B22"/>
    <w:rsid w:val="00BB350D"/>
    <w:rsid w:val="00BB66A3"/>
    <w:rsid w:val="00BC27CF"/>
    <w:rsid w:val="00BD0A91"/>
    <w:rsid w:val="00BD4DA8"/>
    <w:rsid w:val="00BE60AD"/>
    <w:rsid w:val="00BE66F2"/>
    <w:rsid w:val="00BE78DA"/>
    <w:rsid w:val="00BF46BC"/>
    <w:rsid w:val="00BF4D3F"/>
    <w:rsid w:val="00BF6CC1"/>
    <w:rsid w:val="00C0199E"/>
    <w:rsid w:val="00C036B0"/>
    <w:rsid w:val="00C050D1"/>
    <w:rsid w:val="00C16230"/>
    <w:rsid w:val="00C23766"/>
    <w:rsid w:val="00C27E87"/>
    <w:rsid w:val="00C32A88"/>
    <w:rsid w:val="00C41762"/>
    <w:rsid w:val="00C655F7"/>
    <w:rsid w:val="00C72518"/>
    <w:rsid w:val="00C72CF4"/>
    <w:rsid w:val="00C77A74"/>
    <w:rsid w:val="00C8005D"/>
    <w:rsid w:val="00C849A4"/>
    <w:rsid w:val="00C86741"/>
    <w:rsid w:val="00C93021"/>
    <w:rsid w:val="00CA3121"/>
    <w:rsid w:val="00CA4667"/>
    <w:rsid w:val="00CB5BB6"/>
    <w:rsid w:val="00CB68D3"/>
    <w:rsid w:val="00CC65F7"/>
    <w:rsid w:val="00CC6CB3"/>
    <w:rsid w:val="00CD2D0D"/>
    <w:rsid w:val="00CD46C1"/>
    <w:rsid w:val="00CE784C"/>
    <w:rsid w:val="00D0465E"/>
    <w:rsid w:val="00D10AE7"/>
    <w:rsid w:val="00D26643"/>
    <w:rsid w:val="00D37D6C"/>
    <w:rsid w:val="00D41D28"/>
    <w:rsid w:val="00D46723"/>
    <w:rsid w:val="00D46C85"/>
    <w:rsid w:val="00D473AF"/>
    <w:rsid w:val="00D5034B"/>
    <w:rsid w:val="00D52EBC"/>
    <w:rsid w:val="00D55C4E"/>
    <w:rsid w:val="00D81A70"/>
    <w:rsid w:val="00D849A7"/>
    <w:rsid w:val="00D92EDE"/>
    <w:rsid w:val="00DB1717"/>
    <w:rsid w:val="00DB2635"/>
    <w:rsid w:val="00DB5D8B"/>
    <w:rsid w:val="00DB735D"/>
    <w:rsid w:val="00DC4068"/>
    <w:rsid w:val="00DC4D62"/>
    <w:rsid w:val="00DD29BD"/>
    <w:rsid w:val="00DD7779"/>
    <w:rsid w:val="00DE27A1"/>
    <w:rsid w:val="00DE3A2C"/>
    <w:rsid w:val="00DE4189"/>
    <w:rsid w:val="00DE572F"/>
    <w:rsid w:val="00DE5CC6"/>
    <w:rsid w:val="00DF4E0D"/>
    <w:rsid w:val="00E02B43"/>
    <w:rsid w:val="00E1035F"/>
    <w:rsid w:val="00E10BDC"/>
    <w:rsid w:val="00E15330"/>
    <w:rsid w:val="00E2281C"/>
    <w:rsid w:val="00E2364C"/>
    <w:rsid w:val="00E37956"/>
    <w:rsid w:val="00E43308"/>
    <w:rsid w:val="00E63DF1"/>
    <w:rsid w:val="00E63F14"/>
    <w:rsid w:val="00E64867"/>
    <w:rsid w:val="00E72531"/>
    <w:rsid w:val="00E925FC"/>
    <w:rsid w:val="00EA32B0"/>
    <w:rsid w:val="00EB6780"/>
    <w:rsid w:val="00EC4B8A"/>
    <w:rsid w:val="00ED2623"/>
    <w:rsid w:val="00ED71EA"/>
    <w:rsid w:val="00ED7EE4"/>
    <w:rsid w:val="00EF07DF"/>
    <w:rsid w:val="00EF3A73"/>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F2484"/>
    <w:rsid w:val="00FF3845"/>
    <w:rsid w:val="00FF6507"/>
    <w:rsid w:val="01560D55"/>
    <w:rsid w:val="01FB1F32"/>
    <w:rsid w:val="02C57AC3"/>
    <w:rsid w:val="02CA2F87"/>
    <w:rsid w:val="038269B5"/>
    <w:rsid w:val="04CD156A"/>
    <w:rsid w:val="05323B4A"/>
    <w:rsid w:val="064B0E6C"/>
    <w:rsid w:val="06E36B07"/>
    <w:rsid w:val="09103769"/>
    <w:rsid w:val="09A561EF"/>
    <w:rsid w:val="09AC6127"/>
    <w:rsid w:val="0F0043BB"/>
    <w:rsid w:val="1241381F"/>
    <w:rsid w:val="13842138"/>
    <w:rsid w:val="14181DC5"/>
    <w:rsid w:val="155D0FAE"/>
    <w:rsid w:val="15605C7E"/>
    <w:rsid w:val="17D75757"/>
    <w:rsid w:val="1803172C"/>
    <w:rsid w:val="18115D76"/>
    <w:rsid w:val="194950A1"/>
    <w:rsid w:val="1B4B2D82"/>
    <w:rsid w:val="1B8B2D6E"/>
    <w:rsid w:val="1C06387C"/>
    <w:rsid w:val="1D4B4659"/>
    <w:rsid w:val="1DA941EB"/>
    <w:rsid w:val="21556519"/>
    <w:rsid w:val="21AE43C0"/>
    <w:rsid w:val="24B6088C"/>
    <w:rsid w:val="25446C03"/>
    <w:rsid w:val="27260C26"/>
    <w:rsid w:val="27660D0E"/>
    <w:rsid w:val="28FB441D"/>
    <w:rsid w:val="29397963"/>
    <w:rsid w:val="29E37A3B"/>
    <w:rsid w:val="29F0754D"/>
    <w:rsid w:val="2CCF7E88"/>
    <w:rsid w:val="2CF11704"/>
    <w:rsid w:val="2D400CA8"/>
    <w:rsid w:val="2D45719C"/>
    <w:rsid w:val="2DEC75F3"/>
    <w:rsid w:val="2E0B2CD2"/>
    <w:rsid w:val="30E90FE8"/>
    <w:rsid w:val="31613427"/>
    <w:rsid w:val="31C902E2"/>
    <w:rsid w:val="32C55323"/>
    <w:rsid w:val="33994134"/>
    <w:rsid w:val="34FE2ED5"/>
    <w:rsid w:val="355620DF"/>
    <w:rsid w:val="35892A55"/>
    <w:rsid w:val="35AD2E8C"/>
    <w:rsid w:val="3AEA3336"/>
    <w:rsid w:val="3BA24BB0"/>
    <w:rsid w:val="3C6513F4"/>
    <w:rsid w:val="3CEE1BB4"/>
    <w:rsid w:val="3FCB3B1C"/>
    <w:rsid w:val="3FFC0B92"/>
    <w:rsid w:val="42095E66"/>
    <w:rsid w:val="433D1B9E"/>
    <w:rsid w:val="43910FDF"/>
    <w:rsid w:val="45111D82"/>
    <w:rsid w:val="481B099C"/>
    <w:rsid w:val="4ACA4F6B"/>
    <w:rsid w:val="4D6E1BF8"/>
    <w:rsid w:val="50DD7DA0"/>
    <w:rsid w:val="510826B2"/>
    <w:rsid w:val="511A5D92"/>
    <w:rsid w:val="52EC289B"/>
    <w:rsid w:val="582B1D81"/>
    <w:rsid w:val="5A6F4BA4"/>
    <w:rsid w:val="5A726ACA"/>
    <w:rsid w:val="5BE91D19"/>
    <w:rsid w:val="5C04262D"/>
    <w:rsid w:val="5C646810"/>
    <w:rsid w:val="5CEF711D"/>
    <w:rsid w:val="5E7332FD"/>
    <w:rsid w:val="60056EC4"/>
    <w:rsid w:val="62C16DB1"/>
    <w:rsid w:val="64016D27"/>
    <w:rsid w:val="641D1425"/>
    <w:rsid w:val="641E5B9B"/>
    <w:rsid w:val="64EA430A"/>
    <w:rsid w:val="64FA2D6C"/>
    <w:rsid w:val="662C6033"/>
    <w:rsid w:val="665B0656"/>
    <w:rsid w:val="687C4CDA"/>
    <w:rsid w:val="689A03C5"/>
    <w:rsid w:val="69150AA8"/>
    <w:rsid w:val="69F2084C"/>
    <w:rsid w:val="6B191214"/>
    <w:rsid w:val="6B503609"/>
    <w:rsid w:val="6BB97DF1"/>
    <w:rsid w:val="6BE12EF7"/>
    <w:rsid w:val="6C361A89"/>
    <w:rsid w:val="6C6A476A"/>
    <w:rsid w:val="6CFB1020"/>
    <w:rsid w:val="6E05628E"/>
    <w:rsid w:val="6E2F7ED0"/>
    <w:rsid w:val="6F753A43"/>
    <w:rsid w:val="73674B3B"/>
    <w:rsid w:val="73E23960"/>
    <w:rsid w:val="73FF7F43"/>
    <w:rsid w:val="74317E8C"/>
    <w:rsid w:val="774A6ECC"/>
    <w:rsid w:val="78E860BE"/>
    <w:rsid w:val="7B69328D"/>
    <w:rsid w:val="7BC772EF"/>
    <w:rsid w:val="7BF64F08"/>
    <w:rsid w:val="7C055543"/>
    <w:rsid w:val="7C1927D1"/>
    <w:rsid w:val="7F9B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字符"/>
    <w:link w:val="4"/>
    <w:semiHidden/>
    <w:qFormat/>
    <w:locked/>
    <w:uiPriority w:val="99"/>
    <w:rPr>
      <w:rFonts w:ascii="Calibri" w:hAnsi="Calibri" w:eastAsia="宋体" w:cs="Calibri"/>
      <w:sz w:val="21"/>
      <w:szCs w:val="21"/>
    </w:rPr>
  </w:style>
  <w:style w:type="character" w:customStyle="1" w:styleId="20">
    <w:name w:val="批注主题 字符"/>
    <w:link w:val="12"/>
    <w:semiHidden/>
    <w:qFormat/>
    <w:locked/>
    <w:uiPriority w:val="99"/>
    <w:rPr>
      <w:rFonts w:ascii="Calibri" w:hAnsi="Calibri" w:eastAsia="宋体" w:cs="Calibri"/>
      <w:b/>
      <w:bCs/>
      <w:sz w:val="21"/>
      <w:szCs w:val="21"/>
    </w:rPr>
  </w:style>
  <w:style w:type="character" w:customStyle="1" w:styleId="21">
    <w:name w:val="标题 字符"/>
    <w:link w:val="11"/>
    <w:qFormat/>
    <w:locked/>
    <w:uiPriority w:val="99"/>
    <w:rPr>
      <w:rFonts w:ascii="Cambria" w:hAnsi="Cambria" w:eastAsia="宋体" w:cs="Cambria"/>
      <w:b/>
      <w:bCs/>
      <w:sz w:val="32"/>
      <w:szCs w:val="32"/>
    </w:rPr>
  </w:style>
  <w:style w:type="character" w:customStyle="1" w:styleId="22">
    <w:name w:val="副标题 字符"/>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字符"/>
    <w:link w:val="2"/>
    <w:qFormat/>
    <w:locked/>
    <w:uiPriority w:val="99"/>
    <w:rPr>
      <w:rFonts w:ascii="Calibri" w:hAnsi="Calibri" w:eastAsia="宋体" w:cs="Calibri"/>
      <w:b/>
      <w:bCs/>
      <w:kern w:val="44"/>
      <w:sz w:val="44"/>
      <w:szCs w:val="44"/>
    </w:rPr>
  </w:style>
  <w:style w:type="character" w:customStyle="1" w:styleId="25">
    <w:name w:val="页脚 字符"/>
    <w:link w:val="6"/>
    <w:semiHidden/>
    <w:qFormat/>
    <w:locked/>
    <w:uiPriority w:val="99"/>
    <w:rPr>
      <w:rFonts w:ascii="Calibri" w:hAnsi="Calibri" w:eastAsia="宋体" w:cs="Calibri"/>
      <w:sz w:val="18"/>
      <w:szCs w:val="18"/>
    </w:rPr>
  </w:style>
  <w:style w:type="character" w:customStyle="1" w:styleId="26">
    <w:name w:val="页眉 字符"/>
    <w:link w:val="7"/>
    <w:semiHidden/>
    <w:qFormat/>
    <w:locked/>
    <w:uiPriority w:val="99"/>
    <w:rPr>
      <w:rFonts w:ascii="Calibri" w:hAnsi="Calibri" w:eastAsia="宋体" w:cs="Calibri"/>
      <w:sz w:val="18"/>
      <w:szCs w:val="18"/>
    </w:rPr>
  </w:style>
  <w:style w:type="character" w:customStyle="1" w:styleId="27">
    <w:name w:val="文档结构图 字符"/>
    <w:link w:val="3"/>
    <w:semiHidden/>
    <w:qFormat/>
    <w:locked/>
    <w:uiPriority w:val="99"/>
    <w:rPr>
      <w:rFonts w:ascii="宋体" w:hAnsi="Calibri" w:eastAsia="宋体" w:cs="宋体"/>
      <w:sz w:val="18"/>
      <w:szCs w:val="18"/>
    </w:rPr>
  </w:style>
  <w:style w:type="character" w:customStyle="1" w:styleId="28">
    <w:name w:val="批注框文本 字符"/>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字符"/>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 w:type="paragraph" w:customStyle="1" w:styleId="36">
    <w:name w:val="Revision"/>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Template>
  <Company>Microsoft</Company>
  <Pages>38</Pages>
  <Words>28812</Words>
  <Characters>29902</Characters>
  <Lines>219</Lines>
  <Paragraphs>61</Paragraphs>
  <TotalTime>0</TotalTime>
  <ScaleCrop>false</ScaleCrop>
  <LinksUpToDate>false</LinksUpToDate>
  <CharactersWithSpaces>30179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2022-06-07T01:44:29Z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4929498A18BA42EBBF59C189D6CCE509</vt:lpwstr>
  </property>
</Properties>
</file>