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20" w:lineRule="exact"/>
        <w:jc w:val="center"/>
        <w:rPr>
          <w:rFonts w:ascii="宋体" w:hAnsi="宋体"/>
          <w:b/>
          <w:color w:val="auto"/>
        </w:rPr>
      </w:pPr>
      <w:r>
        <w:rPr>
          <w:rFonts w:hint="eastAsia" w:ascii="宋体" w:hAnsi="宋体"/>
          <w:b/>
          <w:color w:val="auto"/>
        </w:rPr>
        <w:t>杭银理财幸福99丰裕固收理财计划</w:t>
      </w:r>
    </w:p>
    <w:p>
      <w:pPr>
        <w:pStyle w:val="17"/>
        <w:spacing w:line="420" w:lineRule="exact"/>
        <w:jc w:val="center"/>
        <w:rPr>
          <w:rFonts w:ascii="宋体" w:hAnsi="宋体"/>
          <w:b/>
          <w:color w:val="auto"/>
        </w:rPr>
      </w:pPr>
      <w:r>
        <w:rPr>
          <w:rFonts w:hint="eastAsia" w:ascii="宋体" w:hAnsi="宋体"/>
          <w:b/>
          <w:color w:val="auto"/>
        </w:rPr>
        <w:t>风险揭示书</w:t>
      </w:r>
    </w:p>
    <w:p>
      <w:pPr>
        <w:pStyle w:val="17"/>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7"/>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7"/>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7"/>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7"/>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7"/>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7"/>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7"/>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7"/>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7"/>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7"/>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7"/>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7"/>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7"/>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杭银理财幸福99丰裕固收22049</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Z7002222000068</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7"/>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7"/>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7"/>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7"/>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7"/>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7"/>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7"/>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7"/>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7"/>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杭银理财幸福99丰裕固收22049期理财计划</w:t>
      </w:r>
      <w:r>
        <w:rPr>
          <w:rFonts w:hint="eastAsia" w:ascii="宋体" w:cs="宋体"/>
          <w:sz w:val="21"/>
          <w:szCs w:val="21"/>
        </w:rPr>
        <w:t>。</w:t>
      </w:r>
    </w:p>
    <w:p>
      <w:pPr>
        <w:pStyle w:val="17"/>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7"/>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7"/>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7"/>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7"/>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7"/>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7"/>
        <w:spacing w:line="360" w:lineRule="auto"/>
        <w:rPr>
          <w:rFonts w:ascii="宋体" w:eastAsia="Times New Roman"/>
          <w:sz w:val="22"/>
          <w:szCs w:val="22"/>
        </w:rPr>
      </w:pPr>
      <w:r>
        <w:rPr>
          <w:b/>
          <w:bCs/>
          <w:sz w:val="18"/>
          <w:szCs w:val="18"/>
        </w:rPr>
        <w:pict>
          <v:group id="Group 13" o:spid="_x0000_s1036" o:spt="203" style="height:210.6pt;width:459pt;" coordsize="6929,3159">
            <o:lock v:ext="edit" aspectratio="f"/>
            <v:rect id="Picture 14" o:spid="_x0000_s1037" o:spt="1" style="position:absolute;left:0;top:0;height:3159;width:6929;" filled="f" stroked="f" coordsize="21600,21600">
              <v:path/>
              <v:fill on="f" focussize="0,0"/>
              <v:stroke on="f"/>
              <v:imagedata o:title=""/>
              <o:lock v:ext="edit" text="t" aspectratio="t"/>
            </v:rect>
            <v:line id="Line 15" o:spid="_x0000_s1038" o:spt="20" style="position:absolute;left:544;top:2691;height:1;width:5026;" stroked="t" coordsize="21600,21600">
              <v:path arrowok="t"/>
              <v:fill focussize="0,0"/>
              <v:stroke endarrow="block"/>
              <v:imagedata o:title=""/>
              <o:lock v:ext="edit" aspectratio="f"/>
            </v:line>
            <v:line id="Line 16" o:spid="_x0000_s1039" o:spt="20" style="position:absolute;left:815;top:234;flip:y;height:2574;width:0;" stroked="t" coordsize="21600,21600">
              <v:path arrowok="t"/>
              <v:fill focussize="0,0"/>
              <v:stroke endarrow="block"/>
              <v:imagedata o:title=""/>
              <o:lock v:ext="edit" aspectratio="f"/>
            </v:line>
            <v:rect id="Rectangle 17" o:spid="_x0000_s104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4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4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4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4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4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7"/>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丰裕固收22049期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t>Z7002222000068</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A份额（销售代码【FYG22049A】</w:t>
            </w:r>
            <w:r>
              <w:rPr>
                <w:rFonts w:ascii="宋体" w:hAnsi="宋体"/>
                <w:color w:val="000000"/>
                <w:szCs w:val="21"/>
              </w:rPr>
              <w:t>）</w:t>
            </w:r>
            <w:r>
              <w:rPr>
                <w:rFonts w:hint="eastAsia" w:ascii="宋体" w:hAnsi="宋体"/>
                <w:color w:val="000000"/>
                <w:szCs w:val="21"/>
              </w:rPr>
              <w:t>：</w:t>
            </w:r>
            <w:r>
              <w:rPr>
                <w:rFonts w:ascii="宋体" w:hAnsi="宋体"/>
                <w:color w:val="000000"/>
                <w:szCs w:val="21"/>
              </w:rPr>
              <w:t>普通</w:t>
            </w:r>
            <w:r>
              <w:rPr>
                <w:rFonts w:hint="eastAsia" w:ascii="宋体" w:hAnsi="宋体"/>
                <w:color w:val="000000"/>
                <w:szCs w:val="21"/>
              </w:rPr>
              <w:t>个人投资者和机构客户。</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B份额（销售代码【FYG22049B】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C份额（销售代码【FYG22049C】）：部分代销机构客户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D份额（销售代码【FYG22049D】）：部分代销机构客户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E份额（销售代码【FYG22049E】）：部分代销机构客户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F份额（销售代码【FYG22049F】）：部分代销机构客户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A份额：发行规模上限〖8〗亿元。</w:t>
            </w:r>
          </w:p>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C份额：发行规模上限〖15〗亿元。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F份额：发行规模上限〖2〗亿元。</w:t>
            </w:r>
          </w:p>
          <w:p>
            <w:pPr>
              <w:widowControl/>
              <w:spacing w:line="300" w:lineRule="auto"/>
              <w:contextualSpacing/>
              <w:rPr>
                <w:rFonts w:ascii="宋体" w:hAnsi="宋体"/>
                <w:color w:val="000000"/>
                <w:szCs w:val="21"/>
              </w:rPr>
            </w:pPr>
            <w:r>
              <w:rPr>
                <w:rFonts w:hint="eastAsia" w:ascii="宋体" w:hAnsi="宋体"/>
                <w:color w:val="000000"/>
                <w:szCs w:val="21"/>
              </w:rPr>
              <w:t>产品A、B、C、D、E、F份额总发行规模上限合计〖50〗亿元。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〖2022〗年〖8〗月〖9〗日-〖2022〗年〖8〗月〖15〗日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〖2023〗年〖8〗月〖28〗日，若到期日为非工作日则顺延至下一个工作日。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〖377〗天（实际理财期限受制于管理人提前终止权等条款）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F份额：起点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A份额：业绩比较基准为〖3.90%〗（年化）。</w:t>
            </w:r>
          </w:p>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B份额：业绩比较基准为〖4.20%〗（年化）。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C份额：业绩比较基准为〖4.10%〗（年化）。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D份额：业绩比较基准为〖4.30%〗（年化）。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E份额：业绩比较基准为〖4.50%〗（年化）。</w:t>
            </w:r>
          </w:p>
          <w:p>
            <w:pPr>
              <w:widowControl/>
              <w:spacing w:line="300" w:lineRule="auto"/>
              <w:contextualSpacing/>
              <w:rPr>
                <w:rFonts w:hint="eastAsia" w:ascii="宋体" w:hAnsi="宋体"/>
                <w:color w:val="000000"/>
                <w:szCs w:val="21"/>
              </w:rPr>
            </w:pPr>
            <w:r>
              <w:rPr>
                <w:rFonts w:hint="eastAsia" w:ascii="宋体" w:hAnsi="宋体"/>
                <w:color w:val="000000"/>
                <w:szCs w:val="21"/>
              </w:rPr>
              <w:t>F份额：业绩比较基准为〖4.40%〗（年化）。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F份额：按照产品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F份额：按照产品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7"/>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7"/>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7"/>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7"/>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7"/>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7"/>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7"/>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7"/>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A份额理财计划财产的年化销售服务费率为0.20%，B份额理财计划财产的年化销售服务费率为0.10%， C份额理财计划财产的年化销售服务费率为0.20%,D份额理财计划财产的年化销售服务费率为0.10%,E份额理财计划财产的年化销售服务费率为0%, F份额理财计划财产的年化销售服务费率为0%,以A份额为例计算方法如下：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E为A份额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A份额理财计划财产的年化固定管理费率为0.40%，B份额理财计划财产的年化固定管理费率为0.20%，  C份额理财计划财产的年化固定管理费率为0.20%，D份额理财计划财产的年化固定管理费率为0.10%，E份额理财计划财产的年化固定管理费率为0%，F份额理财计划财产的年化固定管理费率为0.10%，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E为A份额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以A份额为例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H为A份额产品到期（提前终止）时应收取的浮动管理费NAV为到期日（提前终止日）扣除固定管理费、托管费、销售服务费（如有）等固定费用后单位净值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R为A份额业绩比较基准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9"/>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789"/>
        <w:gridCol w:w="1730"/>
        <w:gridCol w:w="1419"/>
        <w:gridCol w:w="5916"/>
      </w:tblGrid>
      <w:tr>
        <w:tblPrEx>
          <w:tblCellMar>
            <w:top w:w="0" w:type="dxa"/>
            <w:left w:w="108" w:type="dxa"/>
            <w:bottom w:w="0" w:type="dxa"/>
            <w:right w:w="108" w:type="dxa"/>
          </w:tblCellMar>
        </w:tblPrEx>
        <w:trPr>
          <w:trHeight w:val="285" w:hRule="atLeast"/>
        </w:trPr>
        <w:tc>
          <w:tcPr>
            <w:tcW w:w="7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销售机构信息</w:t>
            </w:r>
          </w:p>
        </w:tc>
        <w:tc>
          <w:tcPr>
            <w:tcW w:w="17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杭州银行股份有限公司</w:t>
            </w:r>
          </w:p>
        </w:tc>
        <w:tc>
          <w:tcPr>
            <w:tcW w:w="14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兴业银行股份有限公司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苏州银行股份有限公司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富邦华一银行有限公司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日照银行股份有限公司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济宁银行股份有限公司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齐鲁银行股份有限公司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汉口银行股份有限公司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九江银行股份有限公司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贵阳银行股份有限公司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东营银行股份有限公司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浙商银行股份有限公司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870" w:hRule="atLeast"/>
        </w:trPr>
        <w:tc>
          <w:tcPr>
            <w:tcW w:w="78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销售机构职责</w:t>
            </w:r>
          </w:p>
        </w:tc>
        <w:tc>
          <w:tcPr>
            <w:tcW w:w="906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Pr>
        <w:rPr>
          <w:rFonts w:hint="eastAsia"/>
        </w:rPr>
      </w:pP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bookmarkStart w:id="0" w:name="_GoBack"/>
      <w:bookmarkEnd w:id="0"/>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6</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24C22A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6"/>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0"/>
    <w:rPr>
      <w:color w:val="0000FF"/>
      <w:u w:val="single"/>
    </w:r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副标题 Char"/>
    <w:qFormat/>
    <w:uiPriority w:val="11"/>
    <w:rPr>
      <w:rFonts w:ascii="Cambria" w:hAnsi="Cambria" w:cs="Cambria"/>
      <w:b/>
      <w:bCs/>
      <w:kern w:val="28"/>
      <w:sz w:val="32"/>
      <w:szCs w:val="32"/>
    </w:rPr>
  </w:style>
  <w:style w:type="character" w:customStyle="1" w:styleId="13">
    <w:name w:val="批注框文本 Char"/>
    <w:basedOn w:val="9"/>
    <w:link w:val="3"/>
    <w:semiHidden/>
    <w:qFormat/>
    <w:uiPriority w:val="99"/>
    <w:rPr>
      <w:kern w:val="2"/>
      <w:sz w:val="18"/>
      <w:szCs w:val="18"/>
    </w:rPr>
  </w:style>
  <w:style w:type="character" w:customStyle="1" w:styleId="14">
    <w:name w:val="页脚 Char"/>
    <w:qFormat/>
    <w:uiPriority w:val="99"/>
    <w:rPr>
      <w:rFonts w:ascii="Times New Roman" w:hAnsi="Times New Roman"/>
      <w:sz w:val="18"/>
      <w:szCs w:val="18"/>
    </w:rPr>
  </w:style>
  <w:style w:type="character" w:customStyle="1" w:styleId="15">
    <w:name w:val="页脚 Char1"/>
    <w:basedOn w:val="9"/>
    <w:link w:val="4"/>
    <w:semiHidden/>
    <w:qFormat/>
    <w:uiPriority w:val="99"/>
    <w:rPr>
      <w:rFonts w:ascii="Times New Roman" w:hAnsi="Times New Roman" w:eastAsia="宋体" w:cs="Times New Roman"/>
      <w:sz w:val="18"/>
      <w:szCs w:val="18"/>
    </w:rPr>
  </w:style>
  <w:style w:type="character" w:customStyle="1" w:styleId="16">
    <w:name w:val="副标题 Char1"/>
    <w:basedOn w:val="9"/>
    <w:link w:val="6"/>
    <w:qFormat/>
    <w:uiPriority w:val="11"/>
    <w:rPr>
      <w:rFonts w:ascii="Cambria" w:hAnsi="Cambria" w:eastAsia="宋体" w:cs="Times New Roman"/>
      <w:b/>
      <w:bCs/>
      <w:kern w:val="28"/>
      <w:sz w:val="32"/>
      <w:szCs w:val="32"/>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2"/>
    <w:basedOn w:val="1"/>
    <w:unhideWhenUsed/>
    <w:qFormat/>
    <w:uiPriority w:val="0"/>
    <w:pPr>
      <w:ind w:firstLine="420" w:firstLineChars="200"/>
    </w:pPr>
    <w:rPr>
      <w:szCs w:val="20"/>
    </w:rPr>
  </w:style>
  <w:style w:type="paragraph" w:customStyle="1" w:styleId="19">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25688</Words>
  <Characters>26843</Characters>
  <Lines>199</Lines>
  <Paragraphs>56</Paragraphs>
  <TotalTime>0</TotalTime>
  <ScaleCrop>false</ScaleCrop>
  <LinksUpToDate>false</LinksUpToDate>
  <CharactersWithSpaces>27491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2022-08-05T10:37:09Z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2052-11.1.0.11830</vt:lpwstr>
  </property>
</Properties>
</file>