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20" w:lineRule="exact"/>
        <w:jc w:val="center"/>
        <w:rPr>
          <w:rFonts w:ascii="宋体" w:hAnsi="宋体"/>
          <w:b/>
          <w:color w:val="auto"/>
        </w:rPr>
      </w:pPr>
      <w:r>
        <w:rPr>
          <w:rFonts w:hint="eastAsia" w:ascii="宋体" w:hAnsi="宋体"/>
          <w:b/>
          <w:color w:val="auto"/>
        </w:rPr>
        <w:t>杭银理财幸福99丰裕固收理财计划</w:t>
      </w:r>
    </w:p>
    <w:p>
      <w:pPr>
        <w:pStyle w:val="17"/>
        <w:spacing w:line="420" w:lineRule="exact"/>
        <w:jc w:val="center"/>
        <w:rPr>
          <w:rFonts w:ascii="宋体" w:hAnsi="宋体"/>
          <w:b/>
          <w:color w:val="auto"/>
        </w:rPr>
      </w:pPr>
      <w:r>
        <w:rPr>
          <w:rFonts w:hint="eastAsia" w:ascii="宋体" w:hAnsi="宋体"/>
          <w:b/>
          <w:color w:val="auto"/>
        </w:rPr>
        <w:t>风险揭示书</w:t>
      </w:r>
    </w:p>
    <w:p>
      <w:pPr>
        <w:pStyle w:val="17"/>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7"/>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7"/>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7"/>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7"/>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7"/>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7"/>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7"/>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7"/>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7"/>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7"/>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7"/>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7"/>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7"/>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杭银理财幸福99丰裕固收22063期（共富主题）理财计划产品说明书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Z7002222000</w:t>
      </w:r>
      <w:r>
        <w:rPr>
          <w:rFonts w:hint="eastAsia"/>
        </w:rPr>
        <w:t>098</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7"/>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7"/>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7"/>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7"/>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7"/>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7"/>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7"/>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7"/>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7"/>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杭银理财幸福99丰裕固收22063期（共富主题）理财计划</w:t>
      </w:r>
      <w:r>
        <w:rPr>
          <w:rFonts w:hint="eastAsia" w:ascii="宋体" w:cs="宋体"/>
          <w:sz w:val="21"/>
          <w:szCs w:val="21"/>
        </w:rPr>
        <w:t>。</w:t>
      </w:r>
    </w:p>
    <w:p>
      <w:pPr>
        <w:pStyle w:val="17"/>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7"/>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7"/>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7"/>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7"/>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7"/>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7"/>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7"/>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杭银理财幸福99丰裕固收22063期（共富主题）理财计划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t>Z7002222000</w:t>
            </w:r>
            <w:r>
              <w:rPr>
                <w:rFonts w:hint="eastAsia"/>
              </w:rPr>
              <w:t>098</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产品发行规模上限〖10〗亿元。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〖2022〗年〖10〗月〖25〗日-〖2022〗年〖11〗月〖1〗日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〖2022〗年〖11〗月〖2〗日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〖2023〗年〖11〗月〖9〗日，若到期日为非工作日则顺延至下一个工作日。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〖372〗天（实际理财期限受制于管理人提前终止权等条款）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起点</w:t>
            </w:r>
            <w:r>
              <w:rPr>
                <w:rFonts w:hint="eastAsia" w:ascii="宋体" w:hAnsi="宋体" w:cs="宋体"/>
                <w:szCs w:val="21"/>
              </w:rPr>
              <w:t>〖0.01〗</w:t>
            </w:r>
            <w:r>
              <w:rPr>
                <w:rFonts w:hint="eastAsia" w:ascii="宋体" w:hAnsi="宋体"/>
                <w:color w:val="000000"/>
                <w:szCs w:val="21"/>
              </w:rPr>
              <w:t>元整（具体以代销机构销售要素为准），超过认购起点部分，应为</w:t>
            </w:r>
            <w:r>
              <w:rPr>
                <w:rFonts w:hint="eastAsia" w:ascii="宋体" w:hAnsi="宋体" w:cs="宋体"/>
                <w:szCs w:val="21"/>
              </w:rPr>
              <w:t>〖0.01〗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hint="eastAsia" w:ascii="宋体" w:hAnsi="宋体"/>
                <w:b/>
                <w:color w:val="000000"/>
                <w:szCs w:val="21"/>
              </w:rPr>
            </w:pPr>
            <w:r>
              <w:rPr>
                <w:rFonts w:hint="eastAsia" w:ascii="宋体" w:hAnsi="宋体"/>
                <w:b/>
                <w:color w:val="000000"/>
                <w:szCs w:val="21"/>
              </w:rPr>
              <w:t>单户购买上限</w:t>
            </w:r>
          </w:p>
        </w:tc>
        <w:tc>
          <w:tcPr>
            <w:tcW w:w="7542" w:type="dxa"/>
            <w:vAlign w:val="center"/>
          </w:tcPr>
          <w:p>
            <w:pPr>
              <w:widowControl/>
              <w:spacing w:line="300" w:lineRule="auto"/>
              <w:contextualSpacing/>
              <w:rPr>
                <w:rFonts w:hint="eastAsia" w:ascii="宋体" w:hAnsi="宋体" w:cs="宋体"/>
                <w:szCs w:val="21"/>
              </w:rPr>
            </w:pPr>
            <w:r>
              <w:rPr>
                <w:rFonts w:hint="eastAsia" w:ascii="宋体" w:hAnsi="宋体"/>
                <w:color w:val="000000"/>
                <w:szCs w:val="21"/>
              </w:rPr>
              <w:t>单户购买上限</w:t>
            </w:r>
            <w:r>
              <w:rPr>
                <w:rFonts w:hint="eastAsia" w:ascii="宋体" w:hAnsi="宋体" w:cs="宋体"/>
                <w:szCs w:val="21"/>
              </w:rPr>
              <w:t>〖500万〗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本理财计划业绩比较基准为〖4.00%〗（年化）。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r>
              <w:rPr>
                <w:rFonts w:hint="eastAsia" w:ascii="宋体" w:hAnsi="宋体"/>
                <w:szCs w:val="21"/>
              </w:rPr>
              <w:t>本产品按照产品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r>
              <w:rPr>
                <w:rFonts w:hint="eastAsia" w:ascii="宋体" w:hAnsi="宋体"/>
                <w:szCs w:val="21"/>
              </w:rPr>
              <w:t>本产品按照产品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7"/>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7"/>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7"/>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7"/>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7"/>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主要投资于从事社会公益类业务的企业所发行的债务类工具，包括但不限于公开市场发行债券、非标准化债权等，部分资金拟明确投向乡村振兴、革命老区振兴、绿色发展、碳中和等支持共同富裕国家战略落地的主题债券品种，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7"/>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7"/>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7"/>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本理财计划财产的年化销售服务费率为0.20%，计算方法如下：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本理财计划财产的年化固定管理费率为0.20%，计算方法如下：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9"/>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948"/>
        <w:gridCol w:w="2564"/>
        <w:gridCol w:w="2582"/>
        <w:gridCol w:w="3760"/>
      </w:tblGrid>
      <w:tr>
        <w:tblPrEx>
          <w:tblCellMar>
            <w:top w:w="0" w:type="dxa"/>
            <w:left w:w="108" w:type="dxa"/>
            <w:bottom w:w="0" w:type="dxa"/>
            <w:right w:w="108" w:type="dxa"/>
          </w:tblCellMar>
        </w:tblPrEx>
        <w:trPr>
          <w:trHeight w:val="285" w:hRule="atLeast"/>
        </w:trPr>
        <w:tc>
          <w:tcPr>
            <w:tcW w:w="9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销售机构信息</w:t>
            </w:r>
          </w:p>
        </w:tc>
        <w:tc>
          <w:tcPr>
            <w:tcW w:w="256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杭州银行股份有限公司</w:t>
            </w:r>
          </w:p>
        </w:tc>
        <w:tc>
          <w:tcPr>
            <w:tcW w:w="258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兴业银行股份有限公司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苏州银行股份有限公司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富邦华一银行有限公司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76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齐鲁银行股份有限公司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汉口银行股份有限公司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九江银行股份有限公司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贵阳银行股份有限公司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东营银行股份有限公司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浙商银行股份有限公司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江苏紫金农村商业银行股份有限公司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江苏省南京市建邺区江东中路381号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96008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烟台市芝罘区海港路25号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4008-311-777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宁波东海银行股份有限公司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浙江省宁波市鄞州区和济街181号1幢4、5、6、7层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4008866345</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杭银理财有限责任公司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浙江省杭州市下城区庆春路38号金龙财富中心</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4008950999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四川天府银行股份有限公司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四川省南充市顺庆区滨江中路一段97号26栋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400-16-96869</w:t>
            </w:r>
          </w:p>
        </w:tc>
      </w:tr>
      <w:tr>
        <w:tblPrEx>
          <w:tblCellMar>
            <w:top w:w="0" w:type="dxa"/>
            <w:left w:w="108" w:type="dxa"/>
            <w:bottom w:w="0" w:type="dxa"/>
            <w:right w:w="108" w:type="dxa"/>
          </w:tblCellMar>
        </w:tblPrEx>
        <w:trPr>
          <w:trHeight w:val="367"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江苏常熟农村商业银行股份有限公司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江苏省常熟市新世纪大道58号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956020</w:t>
            </w:r>
          </w:p>
        </w:tc>
      </w:tr>
      <w:tr>
        <w:tblPrEx>
          <w:tblCellMar>
            <w:top w:w="0" w:type="dxa"/>
            <w:left w:w="108" w:type="dxa"/>
            <w:bottom w:w="0" w:type="dxa"/>
            <w:right w:w="108" w:type="dxa"/>
          </w:tblCellMar>
        </w:tblPrEx>
        <w:trPr>
          <w:trHeight w:val="510" w:hRule="atLeast"/>
        </w:trPr>
        <w:tc>
          <w:tcPr>
            <w:tcW w:w="94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销售机构职责</w:t>
            </w:r>
          </w:p>
        </w:tc>
        <w:tc>
          <w:tcPr>
            <w:tcW w:w="890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0" w:name="_GoBack"/>
      <w:bookmarkEnd w:id="0"/>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18</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425F24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kern w:val="0"/>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5"/>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页脚 Char1"/>
    <w:basedOn w:val="9"/>
    <w:link w:val="4"/>
    <w:semiHidden/>
    <w:qFormat/>
    <w:uiPriority w:val="99"/>
    <w:rPr>
      <w:rFonts w:ascii="Times New Roman" w:hAnsi="Times New Roman" w:eastAsia="宋体" w:cs="Times New Roman"/>
      <w:sz w:val="18"/>
      <w:szCs w:val="18"/>
    </w:rPr>
  </w:style>
  <w:style w:type="character" w:customStyle="1" w:styleId="12">
    <w:name w:val="批注框文本 Char"/>
    <w:basedOn w:val="9"/>
    <w:link w:val="3"/>
    <w:semiHidden/>
    <w:qFormat/>
    <w:uiPriority w:val="99"/>
    <w:rPr>
      <w:kern w:val="2"/>
      <w:sz w:val="18"/>
      <w:szCs w:val="18"/>
    </w:rPr>
  </w:style>
  <w:style w:type="character" w:customStyle="1" w:styleId="13">
    <w:name w:val="页眉 Char"/>
    <w:basedOn w:val="9"/>
    <w:link w:val="5"/>
    <w:semiHidden/>
    <w:qFormat/>
    <w:uiPriority w:val="99"/>
    <w:rPr>
      <w:rFonts w:ascii="Times New Roman" w:hAnsi="Times New Roman" w:eastAsia="宋体" w:cs="Times New Roman"/>
      <w:sz w:val="18"/>
      <w:szCs w:val="18"/>
    </w:rPr>
  </w:style>
  <w:style w:type="character" w:customStyle="1" w:styleId="14">
    <w:name w:val="页脚 Char"/>
    <w:qFormat/>
    <w:uiPriority w:val="99"/>
    <w:rPr>
      <w:rFonts w:ascii="Times New Roman" w:hAnsi="Times New Roman"/>
      <w:sz w:val="18"/>
      <w:szCs w:val="18"/>
    </w:rPr>
  </w:style>
  <w:style w:type="character" w:customStyle="1" w:styleId="15">
    <w:name w:val="副标题 Char1"/>
    <w:basedOn w:val="9"/>
    <w:link w:val="6"/>
    <w:qFormat/>
    <w:uiPriority w:val="11"/>
    <w:rPr>
      <w:rFonts w:ascii="Cambria" w:hAnsi="Cambria" w:eastAsia="宋体" w:cs="Times New Roman"/>
      <w:b/>
      <w:bCs/>
      <w:kern w:val="28"/>
      <w:sz w:val="32"/>
      <w:szCs w:val="32"/>
    </w:rPr>
  </w:style>
  <w:style w:type="character" w:customStyle="1" w:styleId="16">
    <w:name w:val="副标题 Char"/>
    <w:qFormat/>
    <w:uiPriority w:val="11"/>
    <w:rPr>
      <w:rFonts w:ascii="Cambria" w:hAnsi="Cambria" w:cs="Cambria"/>
      <w:b/>
      <w:bCs/>
      <w:kern w:val="28"/>
      <w:sz w:val="32"/>
      <w:szCs w:val="32"/>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2"/>
    <w:basedOn w:val="1"/>
    <w:unhideWhenUsed/>
    <w:qFormat/>
    <w:uiPriority w:val="0"/>
    <w:pPr>
      <w:ind w:firstLine="420" w:firstLineChars="200"/>
    </w:pPr>
    <w:rPr>
      <w:szCs w:val="20"/>
    </w:rPr>
  </w:style>
  <w:style w:type="paragraph" w:customStyle="1" w:styleId="19">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24925</Words>
  <Characters>25991</Characters>
  <Lines>193</Lines>
  <Paragraphs>54</Paragraphs>
  <TotalTime>0</TotalTime>
  <ScaleCrop>false</ScaleCrop>
  <LinksUpToDate>false</LinksUpToDate>
  <CharactersWithSpaces>26635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2022-10-20T07:36:52Z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2052-11.1.0.12598</vt:lpwstr>
  </property>
</Properties>
</file>