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w:t>
      </w:r>
      <w:r>
        <w:rPr>
          <w:rFonts w:hint="eastAsia" w:cs="宋体"/>
          <w:b/>
          <w:bCs/>
          <w:sz w:val="32"/>
          <w:szCs w:val="32"/>
          <w:lang w:eastAsia="zh-CN"/>
        </w:rPr>
        <w:t>1910</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81</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w:t>
      </w:r>
      <w:r>
        <w:rPr>
          <w:rFonts w:hint="eastAsia" w:ascii="宋体" w:hAnsi="宋体" w:cs="宋体"/>
          <w:sz w:val="21"/>
          <w:szCs w:val="21"/>
          <w:lang w:eastAsia="zh-CN"/>
        </w:rPr>
        <w:t>1910</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w:t>
            </w:r>
            <w:r>
              <w:rPr>
                <w:rFonts w:hint="eastAsia" w:ascii="宋体" w:hAnsi="宋体" w:cs="宋体"/>
                <w:color w:val="000000"/>
                <w:kern w:val="0"/>
                <w:lang w:eastAsia="zh-CN"/>
              </w:rPr>
              <w:t>1910</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eastAsia="zh-CN"/>
              </w:rPr>
              <w:t>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该产品在全国银行业理财信息登记系统的原登记编码是C1092019000996，</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81</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1910</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1910B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1910C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2019年7月24日至2019年7月30日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C份额：</w:t>
            </w:r>
            <w:r>
              <w:rPr>
                <w:rFonts w:hint="eastAsia" w:ascii="宋体" w:hAnsi="宋体" w:cs="宋体"/>
                <w:color w:val="000000"/>
                <w:kern w:val="0"/>
                <w:highlight w:val="none"/>
              </w:rPr>
              <w:t>首次认购</w:t>
            </w:r>
            <w:r>
              <w:rPr>
                <w:rFonts w:ascii="宋体" w:hAnsi="宋体" w:cs="宋体"/>
                <w:color w:val="000000"/>
                <w:kern w:val="0"/>
                <w:highlight w:val="none"/>
              </w:rPr>
              <w:t>/</w:t>
            </w:r>
            <w:r>
              <w:rPr>
                <w:rFonts w:hint="eastAsia" w:ascii="宋体" w:hAnsi="宋体" w:cs="宋体"/>
                <w:color w:val="000000"/>
                <w:kern w:val="0"/>
                <w:highlight w:val="none"/>
              </w:rPr>
              <w:t>申购起点金额</w:t>
            </w:r>
            <w:r>
              <w:rPr>
                <w:rFonts w:hint="eastAsia" w:ascii="宋体" w:hAnsi="宋体" w:cs="宋体"/>
                <w:color w:val="000000"/>
                <w:kern w:val="0"/>
                <w:highlight w:val="none"/>
                <w:lang w:val="en-US" w:eastAsia="zh-CN"/>
              </w:rPr>
              <w:t>1万</w:t>
            </w:r>
            <w:r>
              <w:rPr>
                <w:rFonts w:hint="eastAsia" w:ascii="宋体" w:hAnsi="宋体" w:cs="宋体"/>
                <w:color w:val="000000"/>
                <w:kern w:val="0"/>
                <w:highlight w:val="none"/>
              </w:rPr>
              <w:t>元整，超过起点部分，应为1元的整数倍。</w:t>
            </w:r>
            <w:r>
              <w:rPr>
                <w:rFonts w:hint="eastAsia" w:ascii="宋体" w:hAnsi="宋体"/>
                <w:color w:val="000000"/>
                <w:szCs w:val="21"/>
                <w:highlight w:val="none"/>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首次开放期为2019年10月24日至2019年10月30日，首个确认日为2019年10月31日。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63</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w:t>
      </w:r>
      <w:r>
        <w:rPr>
          <w:rFonts w:hint="eastAsia" w:ascii="宋体" w:hAnsi="宋体"/>
          <w:color w:val="000000"/>
          <w:lang w:val="en-US" w:eastAsia="zh-CN"/>
        </w:rPr>
        <w:t>以A份额为例，</w:t>
      </w:r>
      <w:r>
        <w:rPr>
          <w:rFonts w:ascii="宋体" w:hAnsi="宋体"/>
          <w:color w:val="000000"/>
        </w:rPr>
        <w:t>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w:t>
      </w:r>
      <w:r>
        <w:rPr>
          <w:rFonts w:hint="eastAsia" w:ascii="宋体" w:hAnsi="宋体"/>
          <w:color w:val="000000"/>
          <w:lang w:val="en-US" w:eastAsia="zh-CN"/>
        </w:rPr>
        <w:t>A份额</w:t>
      </w:r>
      <w:r>
        <w:rPr>
          <w:rFonts w:ascii="宋体" w:hAnsi="宋体"/>
          <w:color w:val="000000"/>
        </w:rPr>
        <w:t>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w:t>
      </w:r>
      <w:r>
        <w:rPr>
          <w:rFonts w:hint="eastAsia" w:ascii="宋体" w:hAnsi="宋体"/>
          <w:color w:val="000000"/>
          <w:lang w:val="en-US" w:eastAsia="zh-CN"/>
        </w:rPr>
        <w:t>A份额</w:t>
      </w:r>
      <w:r>
        <w:rPr>
          <w:rFonts w:ascii="宋体" w:hAnsi="宋体"/>
          <w:color w:val="000000"/>
        </w:rPr>
        <w:t>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w:t>
      </w:r>
      <w:r>
        <w:rPr>
          <w:rFonts w:hint="eastAsia" w:ascii="宋体" w:hAnsi="宋体"/>
          <w:color w:val="000000"/>
          <w:lang w:val="en-US" w:eastAsia="zh-CN"/>
        </w:rPr>
        <w:t>A份额</w:t>
      </w:r>
      <w:r>
        <w:rPr>
          <w:rFonts w:ascii="宋体" w:hAnsi="宋体"/>
          <w:color w:val="000000"/>
        </w:rPr>
        <w:t>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w:t>
      </w:r>
      <w:r>
        <w:rPr>
          <w:rFonts w:hint="eastAsia" w:ascii="宋体" w:hAnsi="宋体"/>
          <w:color w:val="000000"/>
          <w:lang w:val="en-US" w:eastAsia="zh-CN"/>
        </w:rPr>
        <w:t>A份额</w:t>
      </w:r>
      <w:r>
        <w:rPr>
          <w:rFonts w:ascii="宋体" w:hAnsi="宋体"/>
          <w:color w:val="000000"/>
        </w:rPr>
        <w:t>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w:t>
      </w:r>
      <w:r>
        <w:rPr>
          <w:rFonts w:hint="eastAsia" w:ascii="宋体" w:hAnsi="宋体"/>
          <w:color w:val="000000"/>
          <w:lang w:val="en-US" w:eastAsia="zh-CN"/>
        </w:rPr>
        <w:t>A份额</w:t>
      </w:r>
      <w:r>
        <w:rPr>
          <w:rFonts w:ascii="宋体" w:hAnsi="宋体"/>
          <w:color w:val="000000"/>
        </w:rPr>
        <w:t>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w:t>
      </w:r>
      <w:r>
        <w:rPr>
          <w:rFonts w:hint="eastAsia" w:ascii="宋体" w:hAnsi="宋体"/>
          <w:color w:val="000000"/>
          <w:lang w:val="en-US" w:eastAsia="zh-CN"/>
        </w:rPr>
        <w:t>A份额</w:t>
      </w:r>
      <w:r>
        <w:rPr>
          <w:rFonts w:ascii="宋体" w:hAnsi="宋体"/>
          <w:color w:val="000000"/>
        </w:rPr>
        <w:t>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w:t>
      </w:r>
      <w:r>
        <w:rPr>
          <w:rFonts w:hint="eastAsia" w:ascii="宋体" w:hAnsi="宋体"/>
          <w:color w:val="000000"/>
          <w:lang w:val="en-US" w:eastAsia="zh-CN"/>
        </w:rPr>
        <w:t>A份额</w:t>
      </w:r>
      <w:r>
        <w:rPr>
          <w:rFonts w:ascii="宋体" w:hAnsi="宋体"/>
          <w:color w:val="000000"/>
        </w:rPr>
        <w:t>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w:t>
      </w:r>
      <w:r>
        <w:rPr>
          <w:rFonts w:hint="eastAsia" w:ascii="宋体" w:hAnsi="宋体"/>
          <w:color w:val="000000"/>
          <w:lang w:val="en-US" w:eastAsia="zh-CN"/>
        </w:rPr>
        <w:t>A份额</w:t>
      </w:r>
      <w:r>
        <w:rPr>
          <w:rFonts w:hint="eastAsia" w:ascii="宋体" w:hAnsi="宋体"/>
        </w:rPr>
        <w:t>净值为1.00元，折算份额为100,000.00份,投资本理财产品362天后，赎回份额100000.00份。假设管理人提取超过业绩基准上限部分的80%作为浮动管理费，</w:t>
      </w:r>
      <w:r>
        <w:rPr>
          <w:rFonts w:hint="eastAsia" w:ascii="宋体" w:hAnsi="宋体"/>
          <w:color w:val="000000"/>
          <w:lang w:val="en-US" w:eastAsia="zh-CN"/>
        </w:rPr>
        <w:t>A份额</w:t>
      </w:r>
      <w:r>
        <w:rPr>
          <w:rFonts w:hint="eastAsia" w:ascii="宋体" w:hAnsi="宋体"/>
        </w:rPr>
        <w:t>业绩比较基准上限为5.60%，期间无分红。赎回时扣除增值税、托管费、</w:t>
      </w:r>
      <w:r>
        <w:rPr>
          <w:rFonts w:hint="eastAsia" w:ascii="宋体" w:hAnsi="宋体"/>
          <w:lang w:eastAsia="zh-CN"/>
        </w:rPr>
        <w:t>销售服务费</w:t>
      </w:r>
      <w:r>
        <w:rPr>
          <w:rFonts w:hint="eastAsia" w:ascii="宋体" w:hAnsi="宋体"/>
        </w:rPr>
        <w:t>、固定管理费后，如</w:t>
      </w:r>
      <w:r>
        <w:rPr>
          <w:rFonts w:hint="eastAsia" w:ascii="宋体" w:hAnsi="宋体"/>
          <w:color w:val="000000"/>
          <w:lang w:val="en-US" w:eastAsia="zh-CN"/>
        </w:rPr>
        <w:t>A份额</w:t>
      </w:r>
      <w:r>
        <w:rPr>
          <w:rFonts w:hint="eastAsia" w:ascii="宋体" w:hAnsi="宋体"/>
        </w:rPr>
        <w:t>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w:t>
      </w:r>
      <w:r>
        <w:rPr>
          <w:rFonts w:hint="eastAsia" w:ascii="宋体" w:hAnsi="宋体"/>
          <w:color w:val="000000"/>
          <w:lang w:val="en-US" w:eastAsia="zh-CN"/>
        </w:rPr>
        <w:t>A份额</w:t>
      </w:r>
      <w:r>
        <w:rPr>
          <w:rFonts w:hint="eastAsia" w:ascii="宋体" w:hAnsi="宋体"/>
        </w:rPr>
        <w:t>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北京农村商业银行股份有限公司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江苏常熟农村商业银行股份有限公司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浙商银行股份有限公司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九江银行股份有限公司</w:t>
            </w: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住所</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lang w:val="en-US" w:eastAsia="zh-CN"/>
              </w:rPr>
            </w:pPr>
          </w:p>
        </w:tc>
        <w:tc>
          <w:tcPr>
            <w:tcW w:w="13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客服热线</w:t>
            </w:r>
          </w:p>
        </w:tc>
        <w:tc>
          <w:tcPr>
            <w:tcW w:w="4625" w:type="dxa"/>
            <w:vAlign w:val="center"/>
          </w:tcPr>
          <w:p>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7"/>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7"/>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pPr>
        <w:jc w:val="center"/>
        <w:rPr>
          <w:rFonts w:ascii="宋体" w:hAnsi="宋体"/>
          <w:b/>
          <w:bCs/>
          <w:sz w:val="32"/>
          <w:szCs w:val="32"/>
        </w:rPr>
      </w:pPr>
      <w:bookmarkStart w:id="3" w:name="_GoBack"/>
      <w:bookmarkEnd w:id="3"/>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paragraph">
                <wp:posOffset>0</wp:posOffset>
              </wp:positionV>
              <wp:extent cx="135255" cy="16256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RzB0QAAAAMBAAAPAAAAAAAAAAEAIAAAACIAAABkcnMvZG93&#10;bnJldi54bWxQSwECFAAUAAAACACHTuJAvoDB4s4BAACYAwAADgAAAAAAAAABACAAAAAgAQAAZHJz&#10;L2Uyb0RvYy54bWxQSwUGAAAAAAYABgBZAQAAYAU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1E39BB33"/>
    <w:multiLevelType w:val="singleLevel"/>
    <w:tmpl w:val="1E39BB33"/>
    <w:lvl w:ilvl="0" w:tentative="0">
      <w:start w:val="2"/>
      <w:numFmt w:val="decimal"/>
      <w:suff w:val="space"/>
      <w:lvlText w:val="%1."/>
      <w:lvlJc w:val="left"/>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6A34D7DB"/>
    <w:multiLevelType w:val="singleLevel"/>
    <w:tmpl w:val="6A34D7DB"/>
    <w:lvl w:ilvl="0" w:tentative="0">
      <w:start w:val="1"/>
      <w:numFmt w:val="decimal"/>
      <w:lvlText w:val="%1."/>
      <w:lvlJc w:val="left"/>
      <w:pPr>
        <w:tabs>
          <w:tab w:val="left" w:pos="312"/>
        </w:tabs>
      </w:pPr>
    </w:lvl>
  </w:abstractNum>
  <w:abstractNum w:abstractNumId="1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16"/>
  </w:num>
  <w:num w:numId="3">
    <w:abstractNumId w:val="5"/>
  </w:num>
  <w:num w:numId="4">
    <w:abstractNumId w:val="11"/>
  </w:num>
  <w:num w:numId="5">
    <w:abstractNumId w:val="0"/>
  </w:num>
  <w:num w:numId="6">
    <w:abstractNumId w:val="1"/>
  </w:num>
  <w:num w:numId="7">
    <w:abstractNumId w:val="9"/>
  </w:num>
  <w:num w:numId="8">
    <w:abstractNumId w:val="3"/>
  </w:num>
  <w:num w:numId="9">
    <w:abstractNumId w:val="8"/>
  </w:num>
  <w:num w:numId="10">
    <w:abstractNumId w:val="10"/>
  </w:num>
  <w:num w:numId="11">
    <w:abstractNumId w:val="17"/>
  </w:num>
  <w:num w:numId="12">
    <w:abstractNumId w:val="4"/>
  </w:num>
  <w:num w:numId="13">
    <w:abstractNumId w:val="14"/>
  </w:num>
  <w:num w:numId="14">
    <w:abstractNumId w:val="15"/>
  </w:num>
  <w:num w:numId="15">
    <w:abstractNumId w:val="6"/>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A818A6"/>
    <w:rsid w:val="02C57AC3"/>
    <w:rsid w:val="02CA2F87"/>
    <w:rsid w:val="038269B5"/>
    <w:rsid w:val="04CD156A"/>
    <w:rsid w:val="05323B4A"/>
    <w:rsid w:val="060E5190"/>
    <w:rsid w:val="064B0E6C"/>
    <w:rsid w:val="06E36B07"/>
    <w:rsid w:val="07540BA6"/>
    <w:rsid w:val="07B46863"/>
    <w:rsid w:val="09103769"/>
    <w:rsid w:val="09A561EF"/>
    <w:rsid w:val="09AC6127"/>
    <w:rsid w:val="0BEC2FCE"/>
    <w:rsid w:val="0E3D7910"/>
    <w:rsid w:val="0F0043BB"/>
    <w:rsid w:val="0F027F6D"/>
    <w:rsid w:val="110A6D88"/>
    <w:rsid w:val="1241381F"/>
    <w:rsid w:val="13266CF2"/>
    <w:rsid w:val="13842138"/>
    <w:rsid w:val="13F431C8"/>
    <w:rsid w:val="14181DC5"/>
    <w:rsid w:val="14A31786"/>
    <w:rsid w:val="155D0FAE"/>
    <w:rsid w:val="15605C7E"/>
    <w:rsid w:val="17D75757"/>
    <w:rsid w:val="1803172C"/>
    <w:rsid w:val="180572C1"/>
    <w:rsid w:val="180B1D95"/>
    <w:rsid w:val="18115D76"/>
    <w:rsid w:val="194950A1"/>
    <w:rsid w:val="1B4B2D82"/>
    <w:rsid w:val="1B8B2D6E"/>
    <w:rsid w:val="1D4B4659"/>
    <w:rsid w:val="1D506729"/>
    <w:rsid w:val="1DA941EB"/>
    <w:rsid w:val="1FEE0688"/>
    <w:rsid w:val="204B4000"/>
    <w:rsid w:val="21556519"/>
    <w:rsid w:val="21791EE3"/>
    <w:rsid w:val="21AE43C0"/>
    <w:rsid w:val="241A1508"/>
    <w:rsid w:val="245F6DA6"/>
    <w:rsid w:val="24B6088C"/>
    <w:rsid w:val="25446C03"/>
    <w:rsid w:val="26825CCB"/>
    <w:rsid w:val="27260C26"/>
    <w:rsid w:val="27660D0E"/>
    <w:rsid w:val="28FB441D"/>
    <w:rsid w:val="29397963"/>
    <w:rsid w:val="294941E6"/>
    <w:rsid w:val="29E37A3B"/>
    <w:rsid w:val="29F0754D"/>
    <w:rsid w:val="2CCF7E88"/>
    <w:rsid w:val="2CF11704"/>
    <w:rsid w:val="2D400CA8"/>
    <w:rsid w:val="2D45719C"/>
    <w:rsid w:val="2DD731AD"/>
    <w:rsid w:val="2DEC75F3"/>
    <w:rsid w:val="2E0B2CD2"/>
    <w:rsid w:val="2F441FAF"/>
    <w:rsid w:val="2F484F3D"/>
    <w:rsid w:val="30E90FE8"/>
    <w:rsid w:val="31613427"/>
    <w:rsid w:val="32C55323"/>
    <w:rsid w:val="33994134"/>
    <w:rsid w:val="34FE2ED5"/>
    <w:rsid w:val="355620DF"/>
    <w:rsid w:val="35892A55"/>
    <w:rsid w:val="35AD2E8C"/>
    <w:rsid w:val="36536C5C"/>
    <w:rsid w:val="382D5683"/>
    <w:rsid w:val="3AEA3336"/>
    <w:rsid w:val="3B3812C4"/>
    <w:rsid w:val="3BA24BB0"/>
    <w:rsid w:val="3C6513F4"/>
    <w:rsid w:val="3CEE1BB4"/>
    <w:rsid w:val="3D072AB7"/>
    <w:rsid w:val="3FBC77CD"/>
    <w:rsid w:val="3FCB3B1C"/>
    <w:rsid w:val="3FFC0B92"/>
    <w:rsid w:val="42095E66"/>
    <w:rsid w:val="422D1C04"/>
    <w:rsid w:val="42740186"/>
    <w:rsid w:val="433D1B9E"/>
    <w:rsid w:val="43910FDF"/>
    <w:rsid w:val="43A9151E"/>
    <w:rsid w:val="44496822"/>
    <w:rsid w:val="45111D82"/>
    <w:rsid w:val="466559E5"/>
    <w:rsid w:val="481B099C"/>
    <w:rsid w:val="481B3050"/>
    <w:rsid w:val="4ACA4F6B"/>
    <w:rsid w:val="4CFA612B"/>
    <w:rsid w:val="4D6E1BF8"/>
    <w:rsid w:val="4F7E0805"/>
    <w:rsid w:val="50DD7DA0"/>
    <w:rsid w:val="510826B2"/>
    <w:rsid w:val="511A5D92"/>
    <w:rsid w:val="52EC289B"/>
    <w:rsid w:val="57E46C63"/>
    <w:rsid w:val="582B1D81"/>
    <w:rsid w:val="5A6F4BA4"/>
    <w:rsid w:val="5A726ACA"/>
    <w:rsid w:val="5AF5564F"/>
    <w:rsid w:val="5B8B356D"/>
    <w:rsid w:val="5BE91D19"/>
    <w:rsid w:val="5C04262D"/>
    <w:rsid w:val="5C646810"/>
    <w:rsid w:val="5CEF711D"/>
    <w:rsid w:val="5D3871D9"/>
    <w:rsid w:val="5E0A2194"/>
    <w:rsid w:val="5E7332FD"/>
    <w:rsid w:val="60056EC4"/>
    <w:rsid w:val="624E3105"/>
    <w:rsid w:val="62A60977"/>
    <w:rsid w:val="62C16DB1"/>
    <w:rsid w:val="64016D27"/>
    <w:rsid w:val="641C2EB4"/>
    <w:rsid w:val="641D1425"/>
    <w:rsid w:val="641E5B9B"/>
    <w:rsid w:val="64EA430A"/>
    <w:rsid w:val="64FA2D6C"/>
    <w:rsid w:val="662C6033"/>
    <w:rsid w:val="665B0656"/>
    <w:rsid w:val="687C4CDA"/>
    <w:rsid w:val="689A03C5"/>
    <w:rsid w:val="69150AA8"/>
    <w:rsid w:val="69892174"/>
    <w:rsid w:val="69F2084C"/>
    <w:rsid w:val="6AC358C3"/>
    <w:rsid w:val="6B191214"/>
    <w:rsid w:val="6B407769"/>
    <w:rsid w:val="6B503609"/>
    <w:rsid w:val="6BB97DF1"/>
    <w:rsid w:val="6BE12EF7"/>
    <w:rsid w:val="6C29724B"/>
    <w:rsid w:val="6C361A89"/>
    <w:rsid w:val="6C6A476A"/>
    <w:rsid w:val="6CFB1020"/>
    <w:rsid w:val="6E05628E"/>
    <w:rsid w:val="6E2F7ED0"/>
    <w:rsid w:val="6F753A43"/>
    <w:rsid w:val="6F7F45E8"/>
    <w:rsid w:val="71F13C9C"/>
    <w:rsid w:val="730C0F5E"/>
    <w:rsid w:val="73674B3B"/>
    <w:rsid w:val="73E23960"/>
    <w:rsid w:val="73FF7F43"/>
    <w:rsid w:val="74317E8C"/>
    <w:rsid w:val="74AD2B48"/>
    <w:rsid w:val="74D930FF"/>
    <w:rsid w:val="753670C7"/>
    <w:rsid w:val="7549555B"/>
    <w:rsid w:val="774A6ECC"/>
    <w:rsid w:val="78E860BE"/>
    <w:rsid w:val="790B7B4C"/>
    <w:rsid w:val="7B69328D"/>
    <w:rsid w:val="7B9107B8"/>
    <w:rsid w:val="7B992391"/>
    <w:rsid w:val="7BC772EF"/>
    <w:rsid w:val="7BF64F08"/>
    <w:rsid w:val="7C055543"/>
    <w:rsid w:val="7C1927D1"/>
    <w:rsid w:val="7D6438FB"/>
    <w:rsid w:val="7EF96820"/>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39</Pages>
  <Words>29761</Words>
  <Characters>30938</Characters>
  <Lines>171</Lines>
  <Paragraphs>48</Paragraphs>
  <TotalTime>0</TotalTime>
  <ScaleCrop>false</ScaleCrop>
  <LinksUpToDate>false</LinksUpToDate>
  <CharactersWithSpaces>31251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2022-10-31T10:25:05Z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635489C2B8A84C5BAE471C9EE7239184</vt:lpwstr>
  </property>
</Properties>
</file>