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20" w:lineRule="exact"/>
        <w:jc w:val="center"/>
        <w:rPr>
          <w:rFonts w:ascii="宋体" w:hAnsi="宋体"/>
          <w:b/>
          <w:color w:val="auto"/>
        </w:rPr>
      </w:pPr>
      <w:r>
        <w:rPr>
          <w:rFonts w:hint="eastAsia" w:ascii="宋体" w:hAnsi="宋体"/>
          <w:b/>
          <w:color w:val="auto"/>
        </w:rPr>
        <w:t>杭银理财幸福99丰裕固收理财计划</w:t>
      </w:r>
    </w:p>
    <w:p>
      <w:pPr>
        <w:pStyle w:val="17"/>
        <w:spacing w:line="420" w:lineRule="exact"/>
        <w:jc w:val="center"/>
        <w:rPr>
          <w:rFonts w:ascii="宋体" w:hAnsi="宋体"/>
          <w:b/>
          <w:color w:val="auto"/>
        </w:rPr>
      </w:pPr>
      <w:r>
        <w:rPr>
          <w:rFonts w:hint="eastAsia" w:ascii="宋体" w:hAnsi="宋体"/>
          <w:b/>
          <w:color w:val="auto"/>
        </w:rPr>
        <w:t>风险揭示书</w:t>
      </w:r>
    </w:p>
    <w:p>
      <w:pPr>
        <w:pStyle w:val="17"/>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7"/>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7"/>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7"/>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7"/>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7"/>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7"/>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7"/>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7"/>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7"/>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7"/>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7"/>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7"/>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7"/>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杭银理财幸福99丰裕固收22069</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Z7002222000110</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7"/>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7"/>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7"/>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7"/>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7"/>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7"/>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7"/>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7"/>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7"/>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杭银理财幸福99丰裕固收22069期理财计划</w:t>
      </w:r>
      <w:r>
        <w:rPr>
          <w:rFonts w:hint="eastAsia" w:ascii="宋体" w:cs="宋体"/>
          <w:sz w:val="21"/>
          <w:szCs w:val="21"/>
        </w:rPr>
        <w:t>。</w:t>
      </w:r>
    </w:p>
    <w:p>
      <w:pPr>
        <w:pStyle w:val="17"/>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7"/>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7"/>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7"/>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7"/>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7"/>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7"/>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7"/>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丰裕固收22069期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t>Z7002222000110</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r>
              <w:rPr>
                <w:rFonts w:hint="eastAsia" w:ascii="宋体" w:hAnsi="宋体"/>
                <w:color w:val="000000"/>
                <w:szCs w:val="21"/>
              </w:rPr>
              <w:t>投资者风险承受能力评级水平以销售机构评估为准。</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B份额（销售代码【FYG22069B】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C份额（销售代码【FYG22069C】）：部分代销客户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D份额（销售代码【FYG22069D】）：杭银理财特邀客户及部分代销客户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E份额（销售代码【FYG22069E】）：部分代销客户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C份额：发行规模上限〖25〗亿元。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E份额：发行规模上限〖1〗亿元。</w:t>
            </w:r>
          </w:p>
          <w:p>
            <w:pPr>
              <w:widowControl/>
              <w:spacing w:line="300" w:lineRule="auto"/>
              <w:contextualSpacing/>
              <w:rPr>
                <w:rFonts w:ascii="宋体" w:hAnsi="宋体"/>
                <w:color w:val="000000"/>
                <w:szCs w:val="21"/>
              </w:rPr>
            </w:pPr>
            <w:r>
              <w:rPr>
                <w:rFonts w:hint="eastAsia" w:ascii="宋体" w:hAnsi="宋体"/>
                <w:color w:val="000000"/>
                <w:szCs w:val="21"/>
              </w:rPr>
              <w:t>产品B、C、D、E份额总发行规模上限合计〖41〗亿元。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〖2022〗年〖11〗月〖22〗日-〖2022〗年〖11〗月〖28〗日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〖2023〗年〖12〗月〖7〗日，若到期日为非工作日则顺延至下一个工作日。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〖373〗天（实际理财期限受制于管理人提前终止权等条款）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C份额：业绩比较基准为〖3.90%〗（年化）。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D份额：业绩比较基准为〖4.00%〗（年化）。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E份额：业绩比较基准为〖4.20%〗（年化）。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〖0.30%〗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7"/>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7"/>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7"/>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7"/>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7"/>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7"/>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7"/>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7"/>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B份额理财计划财产的年化销售服务费率为0%， C份额理财计划财产的年化销售服务费率为0.20%,D份额理财计划财产的年化销售服务费率为0.10%,E份额理财计划财产的年化销售服务费率为0%,以B份额为例计算方法如下：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E为B份额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理财计划财产的年化托管费为0.025%，以B份额为例计算方法如下：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E为B份额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B份额理财计划财产的年化固定管理费率为0.40%， C份额理财计划财产的年化固定管理费率为0.40%，D份额理财计划财产的年化固定管理费率为0.40%，E份额理财计划财产的年化固定管理费率为0.30%，以B份额为例计算方法如下：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E为B份额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以B份额为例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H为B份额产品到期（提前终止）时应收取的浮动管理费NAV为到期日（提前终止日）扣除固定管理费、托管费、销售服务费（如有）等固定费用后单位净值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E为B份额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R为B份额业绩比较基准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9"/>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676"/>
        <w:gridCol w:w="1561"/>
        <w:gridCol w:w="1417"/>
        <w:gridCol w:w="6200"/>
      </w:tblGrid>
      <w:tr>
        <w:tblPrEx>
          <w:tblCellMar>
            <w:top w:w="0" w:type="dxa"/>
            <w:left w:w="108" w:type="dxa"/>
            <w:bottom w:w="0" w:type="dxa"/>
            <w:right w:w="108" w:type="dxa"/>
          </w:tblCellMar>
        </w:tblPrEx>
        <w:trPr>
          <w:trHeight w:val="285" w:hRule="atLeast"/>
        </w:trPr>
        <w:tc>
          <w:tcPr>
            <w:tcW w:w="67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销售机构信息</w:t>
            </w: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兴业银行股份有限公司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苏州银行股份有限公司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厦门银行股份有限公司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福建省厦门市思明区湖滨北路101号商业银行大厦</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福建省厦门市思明区鹭江道8-10号国际银行大厦1-6层</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富邦华一银行有限公司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上海市世纪大道1168号A座101室、18楼、19楼及20楼</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日照银行股份有限公司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山东省日照市烟台路197号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济宁银行股份有限公司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山东省济宁市金宇路6号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570"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江苏省南京市建邺区庐山路248号4号楼7、8、9、27、28、29层，4号楼裙楼第1、2层</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570"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齐鲁银行股份有限公司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湖南省长沙市岳麓区滨江路53号楷林商务中心B座</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广东省东莞市莞城区体育路21号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九江银行股份有限公司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东营银行股份有限公司</w:t>
            </w: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浙商银行股份有限公司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江苏紫金农村商业银行股份有限公司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江苏省南京市建邺区江东中路381号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96008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烟台银行股份有限公司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山东省烟台市芝罘区海港路25号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4008-311-777</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宁波东海银行股份有限公司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浙江省宁波市鄞州区和济街181号1幢4、5、6、7层</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4008866345</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杭银理财有限责任公司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浙江省杭州市拱墅区庆春路38号金龙财富中心</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400-8950-999</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四川天府银行股份有限公司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四川省南充市顺庆区滨江中路一段97号26栋</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400-16-96869</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江苏常熟农村商业银行股份有限公司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江苏省常熟市新世纪大道58号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956020</w:t>
            </w:r>
          </w:p>
        </w:tc>
      </w:tr>
      <w:tr>
        <w:tblPrEx>
          <w:tblCellMar>
            <w:top w:w="0" w:type="dxa"/>
            <w:left w:w="108" w:type="dxa"/>
            <w:bottom w:w="0" w:type="dxa"/>
            <w:right w:w="108" w:type="dxa"/>
          </w:tblCellMar>
        </w:tblPrEx>
        <w:trPr>
          <w:trHeight w:val="280"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绍兴银行股份有限公司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浙江省绍兴市越城区中兴南路1号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4000896528</w:t>
            </w:r>
          </w:p>
        </w:tc>
      </w:tr>
      <w:tr>
        <w:tblPrEx>
          <w:tblCellMar>
            <w:top w:w="0" w:type="dxa"/>
            <w:left w:w="108" w:type="dxa"/>
            <w:bottom w:w="0" w:type="dxa"/>
            <w:right w:w="108" w:type="dxa"/>
          </w:tblCellMar>
        </w:tblPrEx>
        <w:trPr>
          <w:trHeight w:val="280"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浙江萧山农村商业银行股份有限公司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浙江省杭州市萧山区城厢街道人民路258号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浙江舟山定海海洋农村商业银行股份有限公司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浙江省舟山市定海区环城东路81号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0580-2030956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宁波镇海农村商业银行股份有限公司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浙江省宁波市镇海区骆驼街道镇海大道中段788号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0574-86297777</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浙江平湖农村商业银行股份有限公司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浙江省平湖市当湖街道胜利路518号平湖农商银行总行</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0573-85150528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浙江南浔农村商业银行股份有限公司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浙江省湖州市南浔区南浔镇人瑞路1188号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浙江永康农村商业银行股份有限公司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浙江省永康市九铃东路3259号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潍坊银行股份有限公司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山东省潍坊市胜利东街5139号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400-61-96588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浙江海宁农村商业银行股份有限公司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浙江省海宁市钱江西路278号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0573-87696596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浙江台州黄岩农村商业银行股份有限公司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浙江省台州市黄岩洞天路88号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0576-89996596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浙江玉环农村商业银行股份有限公司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浙江省玉环市玉城街道珠港大道26号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广州市天河区珠江东路30号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400-83-96699</w:t>
            </w:r>
          </w:p>
        </w:tc>
      </w:tr>
      <w:tr>
        <w:tblPrEx>
          <w:tblCellMar>
            <w:top w:w="0" w:type="dxa"/>
            <w:left w:w="108" w:type="dxa"/>
            <w:bottom w:w="0" w:type="dxa"/>
            <w:right w:w="108" w:type="dxa"/>
          </w:tblCellMar>
        </w:tblPrEx>
        <w:trPr>
          <w:trHeight w:val="280"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浙江临安农村商业银行股份有限公司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浙江省杭州市临安区钱王街821号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0571-61105831</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浙江安吉农村商业银行股份有限公司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浙江省安吉县昌硕街道昌硕东路1号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4006096596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浙江禾城农村商业银行股份有限公司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浙江省嘉兴市经济技术开发区文昌路1229号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浙江嘉善农村商业银行股份有限公司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浙江省嘉善县罗星街道车站南路999号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浙江海盐农村商业银行股份有限公司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浙江海盐武原街道枣园西路176号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浙江丽水莲都农村商业银行股份有限公司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浙江省丽水市莲都区解放街438号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0578-2027170</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宁波余姚农村商业银行股份有限公司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浙江省余姚市新建路69号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0574-62628862</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浙江乐清农村商业银行股份有限公司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浙江省乐清市城南街道伯乐西路99号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0577—62159999</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浙江瑞安农村商业银行股份有限公司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浙江省温州市瑞安市万松东路148号瑞安农商银行总行</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4008057702</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浙江永嘉农村商业银行股份有限公司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浙江省永嘉县瓯北镇阳光大道3918号永嘉农商银行总行</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4008057705</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浙江舟山普陀农村商业银行股份有限公司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浙江省舟山市普陀区东港街道麒麟街225号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0580-3811083</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浙江嵊泗农村商业银行股份有限公司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浙江省嵊泗县菜园镇沙河路110号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浙江桐庐农村商业银行股份有限公司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浙江省杭州市桐庐县迎春南路278号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0571-64218827</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浙江长兴农村商业银行股份有限公司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浙江省长兴县太湖街道明珠路1298号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浙江松阳农村商业银行股份有限公司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浙江省丽水市松阳县水南街道要津南路71号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浙江富阳农村商业银行股份有限公司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浙江省杭州市富阳区鹿山街道依江路501号</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浙江天台农村商业银行股份有限公司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浙江省天台飞鹤路358号304室</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浙江临海农村商业银行股份有限公司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浙江省临海市大洋街道河阳路299号临海农商银行15F金融市场中心</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0576-85307599</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汉口银行股份有限公司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湖北省武汉市江汉区建设大道933号武汉商业银行大厦</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left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宁波宁海农村商业银行股份有限公司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浙江省宁海县跃龙街道学勉路1号（金融中心1903）</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0574-83522699</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Cs w:val="21"/>
              </w:rPr>
            </w:pPr>
          </w:p>
        </w:tc>
        <w:tc>
          <w:tcPr>
            <w:tcW w:w="1561" w:type="dxa"/>
            <w:vMerge w:val="restart"/>
            <w:tcBorders>
              <w:left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浙江文成农村商业银行股份有限公司</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color w:val="000000"/>
                <w:kern w:val="0"/>
                <w:szCs w:val="21"/>
              </w:rPr>
            </w:pPr>
            <w:r>
              <w:rPr>
                <w:rFonts w:hint="eastAsia" w:ascii="宋体" w:hAnsi="宋体" w:cs="宋体"/>
                <w:color w:val="000000"/>
                <w:kern w:val="0"/>
                <w:szCs w:val="21"/>
              </w:rPr>
              <w:t>住所</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浙江省温州市文成县大学镇伯温路6号文成农商银行</w:t>
            </w:r>
          </w:p>
        </w:tc>
      </w:tr>
      <w:tr>
        <w:tblPrEx>
          <w:tblCellMar>
            <w:top w:w="0" w:type="dxa"/>
            <w:left w:w="108" w:type="dxa"/>
            <w:bottom w:w="0" w:type="dxa"/>
            <w:right w:w="108" w:type="dxa"/>
          </w:tblCellMar>
        </w:tblPrEx>
        <w:trPr>
          <w:trHeight w:val="285" w:hRule="atLeast"/>
        </w:trPr>
        <w:tc>
          <w:tcPr>
            <w:tcW w:w="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p>
        </w:tc>
        <w:tc>
          <w:tcPr>
            <w:tcW w:w="0"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客服热线</w:t>
            </w:r>
          </w:p>
        </w:tc>
        <w:tc>
          <w:tcPr>
            <w:tcW w:w="6200" w:type="dxa"/>
            <w:tcBorders>
              <w:top w:val="single" w:color="000000" w:sz="4" w:space="0"/>
              <w:left w:val="single" w:color="000000" w:sz="4" w:space="0"/>
              <w:bottom w:val="single" w:color="000000" w:sz="4" w:space="0"/>
              <w:right w:val="single" w:color="000000" w:sz="4" w:space="0"/>
            </w:tcBorders>
            <w:noWrap/>
            <w:vAlign w:val="bottom"/>
          </w:tcPr>
          <w:p>
            <w:pPr>
              <w:widowControl/>
              <w:jc w:val="center"/>
              <w:rPr>
                <w:rFonts w:ascii="宋体" w:hAnsi="宋体" w:cs="宋体"/>
                <w:color w:val="000000"/>
                <w:kern w:val="0"/>
                <w:szCs w:val="21"/>
              </w:rPr>
            </w:pPr>
            <w:r>
              <w:rPr>
                <w:rFonts w:hint="eastAsia" w:ascii="宋体" w:hAnsi="宋体" w:cs="宋体"/>
                <w:color w:val="000000"/>
                <w:kern w:val="0"/>
                <w:szCs w:val="21"/>
              </w:rPr>
              <w:t>4008896596</w:t>
            </w:r>
          </w:p>
        </w:tc>
      </w:tr>
      <w:tr>
        <w:tblPrEx>
          <w:tblCellMar>
            <w:top w:w="0" w:type="dxa"/>
            <w:left w:w="108" w:type="dxa"/>
            <w:bottom w:w="0" w:type="dxa"/>
            <w:right w:w="108" w:type="dxa"/>
          </w:tblCellMar>
        </w:tblPrEx>
        <w:trPr>
          <w:trHeight w:val="1460" w:hRule="atLeast"/>
        </w:trPr>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9178"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p>
      <w:bookmarkStart w:id="0" w:name="_GoBack"/>
      <w:bookmarkEnd w:id="0"/>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33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281C57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kern w:val="0"/>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2"/>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页脚 Char"/>
    <w:qFormat/>
    <w:uiPriority w:val="99"/>
    <w:rPr>
      <w:rFonts w:ascii="Times New Roman" w:hAnsi="Times New Roman"/>
      <w:sz w:val="18"/>
      <w:szCs w:val="18"/>
    </w:rPr>
  </w:style>
  <w:style w:type="character" w:customStyle="1" w:styleId="12">
    <w:name w:val="副标题 Char1"/>
    <w:basedOn w:val="9"/>
    <w:link w:val="6"/>
    <w:qFormat/>
    <w:uiPriority w:val="11"/>
    <w:rPr>
      <w:rFonts w:ascii="Cambria" w:hAnsi="Cambria" w:eastAsia="宋体" w:cs="Times New Roman"/>
      <w:b/>
      <w:bCs/>
      <w:kern w:val="28"/>
      <w:sz w:val="32"/>
      <w:szCs w:val="32"/>
    </w:rPr>
  </w:style>
  <w:style w:type="character" w:customStyle="1" w:styleId="13">
    <w:name w:val="页脚 Char1"/>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uiPriority w:val="99"/>
    <w:rPr>
      <w:kern w:val="2"/>
      <w:sz w:val="18"/>
      <w:szCs w:val="18"/>
    </w:rPr>
  </w:style>
  <w:style w:type="character" w:customStyle="1" w:styleId="15">
    <w:name w:val="副标题 Char"/>
    <w:qFormat/>
    <w:uiPriority w:val="11"/>
    <w:rPr>
      <w:rFonts w:ascii="Cambria" w:hAnsi="Cambria" w:cs="Cambria"/>
      <w:b/>
      <w:bCs/>
      <w:kern w:val="28"/>
      <w:sz w:val="32"/>
      <w:szCs w:val="32"/>
    </w:rPr>
  </w:style>
  <w:style w:type="character" w:customStyle="1" w:styleId="16">
    <w:name w:val="页眉 Char"/>
    <w:basedOn w:val="9"/>
    <w:link w:val="5"/>
    <w:semiHidden/>
    <w:qFormat/>
    <w:uiPriority w:val="99"/>
    <w:rPr>
      <w:rFonts w:ascii="Times New Roman" w:hAnsi="Times New Roman" w:eastAsia="宋体" w:cs="Times New Roman"/>
      <w:sz w:val="18"/>
      <w:szCs w:val="18"/>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2"/>
    <w:basedOn w:val="1"/>
    <w:unhideWhenUsed/>
    <w:qFormat/>
    <w:uiPriority w:val="0"/>
    <w:pPr>
      <w:ind w:firstLine="420" w:firstLineChars="200"/>
    </w:pPr>
    <w:rPr>
      <w:szCs w:val="20"/>
    </w:r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26528</Words>
  <Characters>27998</Characters>
  <Lines>209</Lines>
  <Paragraphs>59</Paragraphs>
  <TotalTime>0</TotalTime>
  <ScaleCrop>false</ScaleCrop>
  <LinksUpToDate>false</LinksUpToDate>
  <CharactersWithSpaces>28643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2022-11-18T08:49:36Z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2052-11.1.0.12598</vt:lpwstr>
  </property>
</Properties>
</file>