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4B0" w:rsidRDefault="007A6ABA">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5A54B0" w:rsidRDefault="007A6ABA">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5A54B0" w:rsidRDefault="007A6ABA">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），了解本理财产品信息及详细条款。</w:t>
      </w:r>
    </w:p>
    <w:p w:rsidR="005A54B0" w:rsidRDefault="007A6ABA">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重要提示：南银理财有限责任公司（以下简称为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w:t>
      </w:r>
      <w:r>
        <w:rPr>
          <w:rFonts w:ascii="宋体" w:hint="eastAsia"/>
          <w:b/>
          <w:color w:val="3D3D3D"/>
          <w:kern w:val="0"/>
          <w:sz w:val="13"/>
          <w:szCs w:val="13"/>
        </w:rPr>
        <w:t>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w:t>
      </w:r>
      <w:r>
        <w:rPr>
          <w:rFonts w:ascii="宋体" w:hint="eastAsia"/>
          <w:b/>
          <w:color w:val="3D3D3D"/>
          <w:kern w:val="0"/>
          <w:sz w:val="13"/>
          <w:szCs w:val="13"/>
        </w:rPr>
        <w:t>露情况，及时获取相关信息。</w:t>
      </w:r>
    </w:p>
    <w:p w:rsidR="005A54B0" w:rsidRDefault="007A6ABA">
      <w:pPr>
        <w:widowControl/>
        <w:spacing w:line="200" w:lineRule="exact"/>
        <w:ind w:firstLineChars="200" w:firstLine="261"/>
        <w:rPr>
          <w:color w:val="3D3D3D"/>
          <w:kern w:val="0"/>
          <w:sz w:val="13"/>
          <w:szCs w:val="13"/>
        </w:rPr>
      </w:pPr>
      <w:r>
        <w:rPr>
          <w:rFonts w:ascii="宋体" w:hint="eastAsia"/>
          <w:b/>
          <w:color w:val="3D3D3D"/>
          <w:kern w:val="0"/>
          <w:sz w:val="13"/>
          <w:szCs w:val="13"/>
        </w:rPr>
        <w:t>本风险揭示书列示的风险指理财产品项下可能涉及的风险，包括但不限于：</w:t>
      </w:r>
    </w:p>
    <w:p w:rsidR="005A54B0" w:rsidRDefault="007A6ABA">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（二）信用风险：本理财产品收益来源于理财产品项下投资对象的回报。本理财产品所投资的资产，可能因债务</w:t>
      </w:r>
      <w:r>
        <w:rPr>
          <w:rFonts w:ascii="宋体" w:hint="eastAsia"/>
          <w:color w:val="3D3D3D"/>
          <w:kern w:val="0"/>
          <w:sz w:val="13"/>
          <w:szCs w:val="13"/>
        </w:rPr>
        <w:t>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w:t>
      </w:r>
      <w:r>
        <w:rPr>
          <w:rFonts w:ascii="宋体" w:hint="eastAsia"/>
          <w:color w:val="3D3D3D"/>
          <w:kern w:val="0"/>
          <w:sz w:val="13"/>
          <w:szCs w:val="13"/>
        </w:rPr>
        <w:t>，导致理财产品本金或收益蒙受损失的风险。</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理财产品投资商品及金融衍生品类产品可能面临衍生品公允价值变化风险等。</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w:t>
      </w:r>
      <w:r>
        <w:rPr>
          <w:rFonts w:ascii="宋体" w:hint="eastAsia"/>
          <w:color w:val="3D3D3D"/>
          <w:kern w:val="0"/>
          <w:sz w:val="13"/>
          <w:szCs w:val="13"/>
        </w:rPr>
        <w:t>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（六）利</w:t>
      </w:r>
      <w:r>
        <w:rPr>
          <w:rFonts w:ascii="宋体" w:hint="eastAsia"/>
          <w:color w:val="3D3D3D"/>
          <w:kern w:val="0"/>
          <w:sz w:val="13"/>
          <w:szCs w:val="13"/>
        </w:rPr>
        <w:t>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w:t>
      </w:r>
      <w:r>
        <w:rPr>
          <w:rFonts w:ascii="宋体" w:hint="eastAsia"/>
          <w:color w:val="3D3D3D"/>
          <w:kern w:val="0"/>
          <w:sz w:val="13"/>
          <w:szCs w:val="13"/>
        </w:rPr>
        <w:t>能及时、足额变现或抵质押物的变现价值不足以覆盖该部分投资资产本金及投资收益，则可能影响投资者收益，发生本理财产品净值下跌甚至本金损失的情况。</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（九）延期分配风险：如因理财产品投资的资产市场</w:t>
      </w:r>
      <w:r>
        <w:rPr>
          <w:rFonts w:ascii="宋体" w:hint="eastAsia"/>
          <w:color w:val="3D3D3D"/>
          <w:kern w:val="0"/>
          <w:sz w:val="13"/>
          <w:szCs w:val="13"/>
        </w:rPr>
        <w:t>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5A54B0" w:rsidRDefault="007A6ABA">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w:t>
      </w:r>
      <w:r>
        <w:rPr>
          <w:rFonts w:ascii="宋体" w:hint="eastAsia"/>
          <w:b/>
          <w:bCs/>
          <w:color w:val="3D3D3D"/>
          <w:kern w:val="0"/>
          <w:sz w:val="13"/>
          <w:szCs w:val="13"/>
        </w:rPr>
        <w:t>时了解产品信息，而导致投资者无法及时做出合理决策，致使投资者蒙受损失的风险。</w:t>
      </w:r>
    </w:p>
    <w:p w:rsidR="005A54B0" w:rsidRDefault="007A6ABA">
      <w:pPr>
        <w:widowControl/>
        <w:spacing w:line="200" w:lineRule="exact"/>
        <w:ind w:firstLine="260"/>
        <w:rPr>
          <w:b/>
          <w:bCs/>
          <w:color w:val="3D3D3D"/>
          <w:kern w:val="0"/>
          <w:sz w:val="13"/>
          <w:szCs w:val="13"/>
        </w:rPr>
      </w:pPr>
      <w:r>
        <w:rPr>
          <w:rFonts w:ascii="宋体"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5A54B0" w:rsidRDefault="007A6ABA">
      <w:pPr>
        <w:widowControl/>
        <w:spacing w:line="200" w:lineRule="exact"/>
        <w:ind w:firstLine="260"/>
        <w:rPr>
          <w:b/>
          <w:bCs/>
          <w:color w:val="3D3D3D"/>
          <w:kern w:val="0"/>
          <w:sz w:val="13"/>
          <w:szCs w:val="13"/>
        </w:rPr>
      </w:pPr>
      <w:r>
        <w:rPr>
          <w:rFonts w:ascii="宋体" w:hint="eastAsia"/>
          <w:b/>
          <w:bCs/>
          <w:color w:val="3D3D3D"/>
          <w:kern w:val="0"/>
          <w:sz w:val="13"/>
          <w:szCs w:val="13"/>
        </w:rPr>
        <w:t>投资者预留在南银理财或销售机构的有效联系方式变更的，应及时通知南银理财或销售机构</w:t>
      </w:r>
      <w:r>
        <w:rPr>
          <w:rFonts w:ascii="宋体" w:hint="eastAsia"/>
          <w:b/>
          <w:bCs/>
          <w:color w:val="3D3D3D"/>
          <w:kern w:val="0"/>
          <w:sz w:val="13"/>
          <w:szCs w:val="13"/>
        </w:rPr>
        <w:t>。如投资者未及时告知南银理财或销售机构联系方式变更，造成南银理财或销售机构在需要时无法联系投资者，并由此影响投资者的投资决策，因此而产生的责任和风险由投资者自行承担。</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w:t>
      </w:r>
      <w:r>
        <w:rPr>
          <w:rFonts w:ascii="宋体" w:hint="eastAsia"/>
          <w:color w:val="3D3D3D"/>
          <w:kern w:val="0"/>
          <w:sz w:val="13"/>
          <w:szCs w:val="13"/>
        </w:rPr>
        <w:t>，进而导致投资者蒙受本金和收益遭受损失的风险。因不可抗力及意外事件风险导致的任何损失，由投资者自行承担。</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w:t>
      </w:r>
      <w:r>
        <w:rPr>
          <w:rFonts w:ascii="宋体" w:hint="eastAsia"/>
          <w:color w:val="3D3D3D"/>
          <w:kern w:val="0"/>
          <w:sz w:val="13"/>
          <w:szCs w:val="13"/>
        </w:rPr>
        <w:t>，受产品管理人经验、技能、判断力、执行力等方面的限制，可能对产品的运作及管理造成一定影响，并因此影响投资者收益，甚至造成本理财产品净值下跌、本金损失。</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（十六）代销风险：本理财产品通过代销机构销售时，认购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申购资金划转至南银理财，将导致投资者无法完成认购</w:t>
      </w:r>
      <w:r>
        <w:rPr>
          <w:color w:val="3D3D3D"/>
          <w:kern w:val="0"/>
          <w:sz w:val="13"/>
          <w:szCs w:val="13"/>
        </w:rPr>
        <w:t>/</w:t>
      </w:r>
      <w:r>
        <w:rPr>
          <w:rFonts w:ascii="宋体" w:hint="eastAsia"/>
          <w:color w:val="3D3D3D"/>
          <w:kern w:val="0"/>
          <w:sz w:val="13"/>
          <w:szCs w:val="13"/>
        </w:rPr>
        <w:t>申购，因此造成的损失南银理财不承担责</w:t>
      </w:r>
      <w:r>
        <w:rPr>
          <w:rFonts w:ascii="宋体" w:hint="eastAsia"/>
          <w:color w:val="3D3D3D"/>
          <w:kern w:val="0"/>
          <w:sz w:val="13"/>
          <w:szCs w:val="13"/>
        </w:rPr>
        <w:lastRenderedPageBreak/>
        <w:t>任。在赎回和产品终止清算时，南银理财将投资者应得资金划转至代销机构指定账户后，由代销机构将相应应得资金划转至投资者账户。若代销机构未及时进行划付，因此造成的损失南银理财不承担任何责任</w:t>
      </w:r>
      <w:r>
        <w:rPr>
          <w:rFonts w:ascii="宋体" w:hint="eastAsia"/>
          <w:color w:val="3D3D3D"/>
          <w:kern w:val="0"/>
          <w:sz w:val="13"/>
          <w:szCs w:val="13"/>
        </w:rPr>
        <w:t>。如果代销机构用于划付理财产品项下资金的账户内资金被依法冻结或扣划、账户处于被挂失、冻结、注销或其他非正常状态等原因而导致交易失败的，由代销机构与投资者依法协商解决。</w:t>
      </w:r>
    </w:p>
    <w:p w:rsidR="005A54B0" w:rsidRDefault="007A6ABA">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5A54B0" w:rsidRDefault="007A6ABA">
      <w:pPr>
        <w:widowControl/>
        <w:spacing w:line="200" w:lineRule="exact"/>
        <w:ind w:firstLine="260"/>
      </w:pPr>
      <w:r>
        <w:rPr>
          <w:rFonts w:ascii="宋体"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5A54B0" w:rsidRDefault="007A6ABA">
      <w:pPr>
        <w:pStyle w:val="Normalbf4b20c5"/>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5A54B0" w:rsidRDefault="007A6ABA">
      <w:pPr>
        <w:spacing w:line="200" w:lineRule="exact"/>
      </w:pPr>
      <w:r>
        <w:rPr>
          <w:rFonts w:ascii="宋体" w:hAnsi="宋体" w:cs="宋体"/>
          <w:b/>
          <w:sz w:val="13"/>
        </w:rPr>
        <w:t xml:space="preserve">    1.</w:t>
      </w:r>
      <w:r>
        <w:rPr>
          <w:rFonts w:ascii="宋体" w:hAnsi="宋体" w:cs="宋体"/>
          <w:b/>
          <w:sz w:val="13"/>
        </w:rPr>
        <w:t>债券类资产投资风险</w:t>
      </w:r>
    </w:p>
    <w:p w:rsidR="005A54B0" w:rsidRDefault="007A6ABA">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5A54B0" w:rsidRDefault="007A6ABA">
      <w:pPr>
        <w:spacing w:line="200" w:lineRule="exact"/>
      </w:pPr>
      <w:r>
        <w:rPr>
          <w:rFonts w:ascii="宋体" w:hAnsi="宋体" w:cs="宋体"/>
          <w:b/>
          <w:sz w:val="13"/>
        </w:rPr>
        <w:t xml:space="preserve">    2.</w:t>
      </w:r>
      <w:r>
        <w:rPr>
          <w:rFonts w:ascii="宋体" w:hAnsi="宋体" w:cs="宋体"/>
          <w:b/>
          <w:sz w:val="13"/>
        </w:rPr>
        <w:t>非标准化债权类资产投资风险</w:t>
      </w:r>
    </w:p>
    <w:p w:rsidR="005A54B0" w:rsidRDefault="007A6ABA">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w:t>
      </w:r>
      <w:r>
        <w:rPr>
          <w:rFonts w:ascii="宋体" w:hAnsi="宋体" w:cs="宋体"/>
          <w:b/>
          <w:sz w:val="13"/>
        </w:rPr>
        <w:t>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w:t>
      </w:r>
      <w:r>
        <w:rPr>
          <w:rFonts w:ascii="宋体" w:hAnsi="宋体" w:cs="宋体"/>
          <w:b/>
          <w:sz w:val="13"/>
        </w:rPr>
        <w:t>金遭受损失。</w:t>
      </w:r>
    </w:p>
    <w:p w:rsidR="005A54B0" w:rsidRDefault="007A6ABA">
      <w:pPr>
        <w:spacing w:line="200" w:lineRule="exact"/>
      </w:pPr>
      <w:r>
        <w:rPr>
          <w:rFonts w:ascii="宋体" w:hAnsi="宋体" w:cs="宋体"/>
          <w:b/>
          <w:sz w:val="13"/>
        </w:rPr>
        <w:t xml:space="preserve">    3.</w:t>
      </w:r>
      <w:r>
        <w:rPr>
          <w:rFonts w:ascii="宋体" w:hAnsi="宋体" w:cs="宋体"/>
          <w:b/>
          <w:sz w:val="13"/>
        </w:rPr>
        <w:t>资产管理产品投资风险</w:t>
      </w:r>
    </w:p>
    <w:p w:rsidR="005A54B0" w:rsidRDefault="007A6ABA">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ascii="宋体" w:hAnsi="宋体" w:cs="宋体"/>
          <w:b/>
          <w:sz w:val="13"/>
        </w:rPr>
        <w:t>/</w:t>
      </w:r>
      <w:r>
        <w:rPr>
          <w:rFonts w:ascii="宋体" w:hAnsi="宋体" w:cs="宋体"/>
          <w:b/>
          <w:sz w:val="13"/>
        </w:rPr>
        <w:t>资产管理人不执行或不能及时、准确</w:t>
      </w:r>
      <w:r>
        <w:rPr>
          <w:rFonts w:ascii="宋体" w:hAnsi="宋体" w:cs="宋体"/>
          <w:b/>
          <w:sz w:val="13"/>
        </w:rPr>
        <w:t>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5A54B0" w:rsidRDefault="007A6ABA">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5A54B0" w:rsidRDefault="007A6ABA">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w:t>
      </w:r>
      <w:r>
        <w:rPr>
          <w:rFonts w:ascii="宋体" w:hAnsi="宋体" w:cs="宋体"/>
          <w:b/>
          <w:sz w:val="13"/>
        </w:rPr>
        <w:t>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5A54B0" w:rsidRDefault="007A6ABA">
      <w:pPr>
        <w:pStyle w:val="Normalbf4b20c5"/>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本理财产品类型：封闭式、固定收益类、公募、净值型。</w:t>
      </w:r>
    </w:p>
    <w:p w:rsidR="005A54B0" w:rsidRDefault="007A6ABA">
      <w:pPr>
        <w:pStyle w:val="Normalbf4b20c5"/>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本理财产品期限为</w:t>
      </w:r>
      <w:r>
        <w:rPr>
          <w:rFonts w:ascii="宋体" w:hint="eastAsia"/>
          <w:b/>
          <w:bCs/>
          <w:color w:val="3D3D3D"/>
          <w:kern w:val="0"/>
          <w:sz w:val="13"/>
          <w:szCs w:val="13"/>
        </w:rPr>
        <w:t>399</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p>
    <w:p w:rsidR="005A54B0" w:rsidRDefault="007A6ABA">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本理财产品风险评级结果：</w:t>
      </w:r>
      <w:r>
        <w:rPr>
          <w:rFonts w:ascii="宋体" w:hint="eastAsia"/>
          <w:color w:val="3D3D3D"/>
          <w:kern w:val="0"/>
          <w:sz w:val="13"/>
          <w:szCs w:val="13"/>
        </w:rPr>
        <w:t>根据管理人内部风险评级，该产品风险等级为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w:t>
      </w:r>
      <w:r>
        <w:rPr>
          <w:rFonts w:ascii="宋体" w:hint="eastAsia"/>
          <w:color w:val="3D3D3D"/>
          <w:kern w:val="0"/>
          <w:sz w:val="13"/>
          <w:szCs w:val="13"/>
        </w:rPr>
        <w:t>障，产品收益随投资表现变动，产品存在较低的本金损失风险。</w:t>
      </w:r>
    </w:p>
    <w:p w:rsidR="005A54B0" w:rsidRDefault="007A6ABA">
      <w:pPr>
        <w:pStyle w:val="annotationtext23"/>
        <w:spacing w:line="200" w:lineRule="exact"/>
        <w:ind w:firstLineChars="200" w:firstLine="261"/>
        <w:rPr>
          <w:rFonts w:ascii="Times New Roman" w:hAnsi="Times New Roman"/>
          <w:color w:val="3D3D3D"/>
          <w:kern w:val="0"/>
          <w:sz w:val="13"/>
          <w:szCs w:val="13"/>
        </w:rPr>
      </w:pPr>
      <w:r>
        <w:rPr>
          <w:rFonts w:ascii="宋体"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5A54B0" w:rsidRDefault="007A6ABA">
      <w:pPr>
        <w:pStyle w:val="Normalbf4b20c5"/>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5A54B0" w:rsidRDefault="007A6ABA">
      <w:pPr>
        <w:pStyle w:val="Normalbf4b20c5"/>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5A54B0" w:rsidRDefault="007A6ABA">
      <w:pPr>
        <w:pStyle w:val="Normalbf4b20c5"/>
        <w:widowControl/>
        <w:spacing w:line="200" w:lineRule="exact"/>
        <w:ind w:firstLine="260"/>
      </w:pPr>
      <w:r>
        <w:rPr>
          <w:rFonts w:ascii="宋体"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5A54B0" w:rsidRDefault="007A6ABA">
      <w:pPr>
        <w:pStyle w:val="Normalbf4b20c5"/>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w:t>
      </w:r>
      <w:r>
        <w:rPr>
          <w:rFonts w:ascii="宋体" w:hint="eastAsia"/>
          <w:b/>
          <w:bCs/>
          <w:color w:val="3D3D3D"/>
          <w:kern w:val="0"/>
          <w:sz w:val="13"/>
          <w:szCs w:val="13"/>
        </w:rPr>
        <w:t>，理财产品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5A54B0" w:rsidRDefault="005A54B0">
      <w:pPr>
        <w:pStyle w:val="Normalbf4b20c5"/>
        <w:widowControl/>
        <w:spacing w:line="200" w:lineRule="exact"/>
        <w:ind w:firstLine="260"/>
        <w:rPr>
          <w:rFonts w:ascii="Times New Roman" w:hAnsi="Times New Roman"/>
          <w:b/>
          <w:color w:val="3D3D3D"/>
          <w:kern w:val="0"/>
          <w:sz w:val="13"/>
          <w:szCs w:val="13"/>
        </w:rPr>
      </w:pPr>
    </w:p>
    <w:p w:rsidR="005A54B0" w:rsidRDefault="007A6ABA">
      <w:pPr>
        <w:pStyle w:val="Normalbf4b20c5"/>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5A54B0" w:rsidRDefault="005A54B0">
      <w:pPr>
        <w:pStyle w:val="Normalbf4b20c5"/>
        <w:widowControl/>
        <w:spacing w:line="200" w:lineRule="exact"/>
        <w:ind w:firstLine="260"/>
        <w:jc w:val="center"/>
        <w:rPr>
          <w:rFonts w:ascii="Times New Roman" w:hAnsi="Times New Roman"/>
          <w:b/>
          <w:color w:val="3D3D3D"/>
          <w:kern w:val="0"/>
          <w:sz w:val="15"/>
          <w:szCs w:val="15"/>
          <w:u w:val="single"/>
        </w:rPr>
      </w:pPr>
    </w:p>
    <w:p w:rsidR="005A54B0" w:rsidRDefault="007A6ABA">
      <w:pPr>
        <w:pStyle w:val="Normalbf4b20c5"/>
        <w:widowControl/>
        <w:spacing w:line="200" w:lineRule="exact"/>
        <w:ind w:firstLine="260"/>
        <w:jc w:val="left"/>
        <w:rPr>
          <w:rFonts w:ascii="Times New Roman" w:hAnsi="Times New Roman"/>
          <w:b/>
          <w:color w:val="3D3D3D"/>
          <w:kern w:val="0"/>
          <w:sz w:val="15"/>
          <w:szCs w:val="15"/>
          <w:u w:val="single"/>
        </w:rPr>
      </w:pPr>
      <w:r>
        <w:rPr>
          <w:rFonts w:ascii="宋体"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5A54B0" w:rsidRDefault="007A6ABA">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5A54B0" w:rsidRDefault="007A6ABA">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r>
        <w:rPr>
          <w:rFonts w:ascii="宋体" w:hint="eastAsia"/>
          <w:b/>
          <w:color w:val="3D3D3D"/>
          <w:kern w:val="0"/>
          <w:sz w:val="15"/>
          <w:szCs w:val="15"/>
          <w:u w:val="single"/>
        </w:rPr>
        <w:t>确认南银理财</w:t>
      </w:r>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义务或责任以及有关免除或减轻南银理财责任或南银理财单方面拥有某些权利的条款已向本人予以说明，本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5A54B0" w:rsidRDefault="007A6ABA">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w:t>
      </w:r>
      <w:r>
        <w:rPr>
          <w:rFonts w:ascii="宋体" w:hint="eastAsia"/>
          <w:b/>
          <w:bCs/>
          <w:color w:val="3D3D3D"/>
          <w:kern w:val="0"/>
          <w:sz w:val="15"/>
          <w:szCs w:val="15"/>
          <w:u w:val="single"/>
        </w:rPr>
        <w:t>资者</w:t>
      </w:r>
      <w:r>
        <w:rPr>
          <w:rFonts w:ascii="宋体" w:hint="eastAsia"/>
          <w:b/>
          <w:color w:val="3D3D3D"/>
          <w:kern w:val="0"/>
          <w:sz w:val="15"/>
          <w:szCs w:val="15"/>
          <w:u w:val="single"/>
        </w:rPr>
        <w:t>相应的后果和责任，并有权拒绝向本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5A54B0" w:rsidRDefault="007A6ABA">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5A54B0" w:rsidRDefault="007A6ABA">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中低、中、中高、高）。如果影响本投资者风险承受能力的因素发生变化，本投资者将及时完成风险承受能力评估，否则由此产生的责任和风险由本投资者自行承担。（仅由个人投资者亲自填写）</w:t>
      </w:r>
    </w:p>
    <w:p w:rsidR="005A54B0" w:rsidRDefault="007A6ABA">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本投资者已认真阅读并充分理解本风险揭示书及对应期次《理财产品销售协议书》《理财产品说</w:t>
      </w:r>
      <w:r>
        <w:rPr>
          <w:rFonts w:ascii="宋体" w:hint="eastAsia"/>
          <w:b/>
          <w:color w:val="3D3D3D"/>
          <w:kern w:val="0"/>
          <w:sz w:val="15"/>
          <w:szCs w:val="15"/>
          <w:u w:val="single"/>
        </w:rPr>
        <w:t>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5A54B0" w:rsidRDefault="007A6ABA">
      <w:pPr>
        <w:widowControl/>
        <w:spacing w:line="200" w:lineRule="exact"/>
        <w:ind w:firstLine="420"/>
        <w:rPr>
          <w:b/>
          <w:color w:val="3D3D3D"/>
          <w:kern w:val="0"/>
          <w:sz w:val="15"/>
          <w:szCs w:val="15"/>
          <w:u w:val="single"/>
        </w:rPr>
      </w:pPr>
      <w:r>
        <w:rPr>
          <w:rFonts w:ascii="宋体" w:hint="eastAsia"/>
          <w:b/>
          <w:color w:val="3D3D3D"/>
          <w:kern w:val="0"/>
          <w:sz w:val="15"/>
          <w:szCs w:val="15"/>
        </w:rPr>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w:t>
      </w:r>
      <w:r>
        <w:rPr>
          <w:rFonts w:ascii="宋体" w:hint="eastAsia"/>
          <w:b/>
          <w:color w:val="3D3D3D"/>
          <w:kern w:val="0"/>
          <w:sz w:val="15"/>
          <w:szCs w:val="15"/>
          <w:u w:val="single"/>
        </w:rPr>
        <w:t>银理财和销售机构在理财产品销售文件之外的任何陈述、说明、文件或承诺，南银理财和销售机构的义务和责任以理财产品销售文件明确记载的书面内容为准。</w:t>
      </w:r>
    </w:p>
    <w:p w:rsidR="005A54B0" w:rsidRDefault="007A6ABA">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如销售机构为管理人关联方的，本投资者认可此等关联方及关联交易情形的存在并自愿承担相关投资风险。</w:t>
      </w:r>
    </w:p>
    <w:p w:rsidR="005A54B0" w:rsidRDefault="007A6ABA">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5A54B0" w:rsidRDefault="007A6ABA">
      <w:pPr>
        <w:widowControl/>
        <w:spacing w:line="200" w:lineRule="exact"/>
        <w:ind w:firstLine="210"/>
        <w:rPr>
          <w:color w:val="3D3D3D"/>
          <w:kern w:val="0"/>
          <w:sz w:val="15"/>
          <w:szCs w:val="15"/>
        </w:rPr>
      </w:pPr>
      <w:r>
        <w:rPr>
          <w:rFonts w:hint="eastAsia"/>
          <w:color w:val="3D3D3D"/>
          <w:kern w:val="0"/>
          <w:sz w:val="15"/>
          <w:szCs w:val="15"/>
        </w:rPr>
        <w:t xml:space="preserve">         </w:t>
      </w:r>
    </w:p>
    <w:p w:rsidR="005A54B0" w:rsidRDefault="005A54B0">
      <w:pPr>
        <w:widowControl/>
        <w:spacing w:line="200" w:lineRule="exact"/>
        <w:ind w:firstLine="210"/>
        <w:rPr>
          <w:color w:val="3D3D3D"/>
          <w:kern w:val="0"/>
          <w:sz w:val="15"/>
          <w:szCs w:val="15"/>
        </w:rPr>
      </w:pPr>
    </w:p>
    <w:p w:rsidR="005A54B0" w:rsidRDefault="007A6ABA">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5A54B0" w:rsidRDefault="005A54B0">
      <w:pPr>
        <w:widowControl/>
        <w:spacing w:line="200" w:lineRule="exact"/>
        <w:ind w:firstLine="210"/>
        <w:rPr>
          <w:color w:val="3D3D3D"/>
          <w:kern w:val="0"/>
          <w:sz w:val="13"/>
          <w:szCs w:val="13"/>
        </w:rPr>
      </w:pPr>
    </w:p>
    <w:p w:rsidR="005A54B0" w:rsidRDefault="005A54B0">
      <w:pPr>
        <w:widowControl/>
        <w:spacing w:line="200" w:lineRule="exact"/>
        <w:ind w:firstLine="210"/>
        <w:jc w:val="left"/>
        <w:rPr>
          <w:color w:val="3D3D3D"/>
          <w:kern w:val="0"/>
          <w:sz w:val="13"/>
          <w:szCs w:val="13"/>
        </w:rPr>
      </w:pPr>
    </w:p>
    <w:p w:rsidR="005A54B0" w:rsidRDefault="005A54B0">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5A54B0">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400" w:lineRule="exact"/>
              <w:jc w:val="center"/>
              <w:rPr>
                <w:b/>
                <w:sz w:val="15"/>
                <w:szCs w:val="15"/>
              </w:rPr>
            </w:pPr>
            <w:r>
              <w:rPr>
                <w:rFonts w:ascii="宋体" w:hint="eastAsia"/>
                <w:b/>
                <w:sz w:val="15"/>
                <w:szCs w:val="15"/>
              </w:rPr>
              <w:t>个人投资者</w:t>
            </w:r>
          </w:p>
        </w:tc>
      </w:tr>
      <w:tr w:rsidR="005A54B0">
        <w:tc>
          <w:tcPr>
            <w:tcW w:w="9287" w:type="dxa"/>
            <w:tcBorders>
              <w:top w:val="single" w:sz="4" w:space="0" w:color="auto"/>
              <w:left w:val="single" w:sz="4" w:space="0" w:color="auto"/>
              <w:bottom w:val="single" w:sz="4" w:space="0" w:color="auto"/>
              <w:right w:val="single" w:sz="4" w:space="0" w:color="auto"/>
              <w:tl2br w:val="nil"/>
              <w:tr2bl w:val="nil"/>
            </w:tcBorders>
          </w:tcPr>
          <w:p w:rsidR="005A54B0" w:rsidRDefault="007A6ABA">
            <w:pPr>
              <w:widowControl/>
              <w:spacing w:line="360" w:lineRule="auto"/>
              <w:rPr>
                <w:color w:val="3D3D3D"/>
                <w:kern w:val="0"/>
                <w:sz w:val="13"/>
                <w:szCs w:val="13"/>
              </w:rPr>
            </w:pPr>
            <w:r>
              <w:rPr>
                <w:rFonts w:ascii="宋体" w:hint="eastAsia"/>
                <w:sz w:val="15"/>
                <w:szCs w:val="15"/>
              </w:rPr>
              <w:t>签名：</w:t>
            </w:r>
          </w:p>
          <w:p w:rsidR="005A54B0" w:rsidRDefault="007A6ABA">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5A54B0">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400" w:lineRule="exact"/>
              <w:jc w:val="center"/>
              <w:rPr>
                <w:sz w:val="15"/>
                <w:szCs w:val="15"/>
              </w:rPr>
            </w:pPr>
            <w:r>
              <w:rPr>
                <w:rFonts w:ascii="宋体" w:hint="eastAsia"/>
                <w:b/>
                <w:bCs/>
                <w:color w:val="3D3D3D"/>
                <w:kern w:val="0"/>
                <w:sz w:val="15"/>
                <w:szCs w:val="15"/>
              </w:rPr>
              <w:t>机构投资者</w:t>
            </w:r>
          </w:p>
        </w:tc>
      </w:tr>
      <w:tr w:rsidR="005A54B0">
        <w:tc>
          <w:tcPr>
            <w:tcW w:w="9287" w:type="dxa"/>
            <w:tcBorders>
              <w:top w:val="single" w:sz="4" w:space="0" w:color="auto"/>
              <w:left w:val="single" w:sz="4" w:space="0" w:color="auto"/>
              <w:bottom w:val="single" w:sz="4" w:space="0" w:color="auto"/>
              <w:right w:val="single" w:sz="4" w:space="0" w:color="auto"/>
              <w:tl2br w:val="nil"/>
              <w:tr2bl w:val="nil"/>
            </w:tcBorders>
          </w:tcPr>
          <w:p w:rsidR="005A54B0" w:rsidRDefault="005A54B0">
            <w:pPr>
              <w:widowControl/>
              <w:spacing w:line="200" w:lineRule="exact"/>
              <w:jc w:val="left"/>
              <w:rPr>
                <w:b/>
                <w:bCs/>
                <w:color w:val="3D3D3D"/>
                <w:kern w:val="0"/>
                <w:sz w:val="15"/>
                <w:szCs w:val="15"/>
              </w:rPr>
            </w:pPr>
          </w:p>
          <w:p w:rsidR="005A54B0" w:rsidRDefault="007A6ABA">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5A54B0" w:rsidRDefault="005A54B0">
            <w:pPr>
              <w:widowControl/>
              <w:spacing w:line="200" w:lineRule="exact"/>
              <w:jc w:val="left"/>
              <w:rPr>
                <w:b/>
                <w:bCs/>
                <w:color w:val="3D3D3D"/>
                <w:kern w:val="0"/>
                <w:sz w:val="15"/>
                <w:szCs w:val="15"/>
              </w:rPr>
            </w:pPr>
          </w:p>
          <w:p w:rsidR="005A54B0" w:rsidRDefault="007A6ABA">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5A54B0" w:rsidRDefault="005A54B0">
            <w:pPr>
              <w:widowControl/>
              <w:spacing w:line="200" w:lineRule="exact"/>
              <w:jc w:val="left"/>
              <w:rPr>
                <w:color w:val="3D3D3D"/>
                <w:kern w:val="0"/>
                <w:sz w:val="13"/>
                <w:szCs w:val="13"/>
              </w:rPr>
            </w:pPr>
          </w:p>
          <w:p w:rsidR="005A54B0" w:rsidRDefault="007A6ABA">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5A54B0">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400" w:lineRule="exact"/>
              <w:jc w:val="center"/>
              <w:rPr>
                <w:sz w:val="15"/>
                <w:szCs w:val="15"/>
              </w:rPr>
            </w:pPr>
            <w:r>
              <w:rPr>
                <w:rFonts w:ascii="宋体" w:hint="eastAsia"/>
                <w:b/>
                <w:bCs/>
                <w:sz w:val="15"/>
                <w:szCs w:val="15"/>
              </w:rPr>
              <w:t>电子渠道</w:t>
            </w:r>
          </w:p>
        </w:tc>
      </w:tr>
      <w:tr w:rsidR="005A54B0">
        <w:tc>
          <w:tcPr>
            <w:tcW w:w="9287" w:type="dxa"/>
            <w:tcBorders>
              <w:top w:val="single" w:sz="4" w:space="0" w:color="auto"/>
              <w:left w:val="single" w:sz="4" w:space="0" w:color="auto"/>
              <w:bottom w:val="single" w:sz="4" w:space="0" w:color="auto"/>
              <w:right w:val="single" w:sz="4" w:space="0" w:color="auto"/>
              <w:tl2br w:val="nil"/>
              <w:tr2bl w:val="nil"/>
            </w:tcBorders>
          </w:tcPr>
          <w:p w:rsidR="005A54B0" w:rsidRDefault="007A6ABA">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如投资者通过电子渠道（包括但不限于网上银行、手机银行或官方网站等）购买本理财产品的，</w:t>
            </w:r>
            <w:r>
              <w:rPr>
                <w:rFonts w:ascii="宋体" w:hint="eastAsia"/>
                <w:spacing w:val="10"/>
                <w:sz w:val="15"/>
                <w:szCs w:val="15"/>
              </w:rPr>
              <w:t>本风险揭示书以数据电文形式订立，</w:t>
            </w:r>
            <w:r>
              <w:rPr>
                <w:rFonts w:ascii="宋体"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宋体"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5A54B0" w:rsidRDefault="005A54B0"/>
    <w:p w:rsidR="005A54B0" w:rsidRDefault="007A6ABA">
      <w:pPr>
        <w:widowControl/>
        <w:jc w:val="left"/>
        <w:rPr>
          <w:rFonts w:ascii="黑体" w:eastAsia="黑体"/>
          <w:b/>
          <w:bCs/>
          <w:kern w:val="0"/>
          <w:sz w:val="24"/>
          <w:szCs w:val="24"/>
        </w:rPr>
      </w:pPr>
      <w:r>
        <w:rPr>
          <w:rFonts w:ascii="黑体" w:eastAsia="黑体"/>
          <w:b/>
          <w:bCs/>
          <w:kern w:val="0"/>
          <w:sz w:val="24"/>
          <w:szCs w:val="24"/>
        </w:rPr>
        <w:br w:type="page"/>
      </w:r>
    </w:p>
    <w:p w:rsidR="005A54B0" w:rsidRDefault="007A6ABA">
      <w:pPr>
        <w:spacing w:line="0" w:lineRule="atLeast"/>
        <w:jc w:val="center"/>
        <w:rPr>
          <w:rFonts w:eastAsia="黑体"/>
          <w:b/>
          <w:bCs/>
          <w:kern w:val="0"/>
          <w:sz w:val="24"/>
          <w:szCs w:val="24"/>
        </w:rPr>
      </w:pPr>
      <w:r>
        <w:rPr>
          <w:rFonts w:ascii="黑体" w:eastAsia="黑体" w:hint="eastAsia"/>
          <w:b/>
          <w:bCs/>
          <w:kern w:val="0"/>
          <w:sz w:val="24"/>
          <w:szCs w:val="24"/>
        </w:rPr>
        <w:t>理财产品说明书</w:t>
      </w:r>
    </w:p>
    <w:p w:rsidR="005A54B0" w:rsidRDefault="007A6ABA">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5A54B0" w:rsidRDefault="007A6ABA">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5A54B0">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hint="eastAsia"/>
                <w:kern w:val="0"/>
              </w:rPr>
              <w:t>南银理财珠联璧合鑫逸稳一年</w:t>
            </w:r>
            <w:r>
              <w:rPr>
                <w:rFonts w:ascii="宋体" w:hint="eastAsia"/>
                <w:kern w:val="0"/>
              </w:rPr>
              <w:t>139</w:t>
            </w:r>
            <w:r>
              <w:rPr>
                <w:rFonts w:ascii="宋体" w:hint="eastAsia"/>
                <w:kern w:val="0"/>
              </w:rPr>
              <w:t>期封闭式公募人民币理财产品</w:t>
            </w:r>
          </w:p>
        </w:tc>
      </w:tr>
      <w:tr w:rsidR="005A54B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A54B0" w:rsidRDefault="007A6ABA">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5A54B0" w:rsidRDefault="007A6ABA">
            <w:pPr>
              <w:widowControl/>
              <w:spacing w:line="200" w:lineRule="exact"/>
              <w:jc w:val="left"/>
              <w:rPr>
                <w:rFonts w:ascii="宋体"/>
                <w:kern w:val="0"/>
              </w:rPr>
            </w:pPr>
            <w:r>
              <w:rPr>
                <w:rFonts w:ascii="宋体" w:hint="eastAsia"/>
                <w:kern w:val="0"/>
              </w:rPr>
              <w:t>封闭式、固定收益类、公募、净值型</w:t>
            </w:r>
          </w:p>
        </w:tc>
      </w:tr>
      <w:tr w:rsidR="005A54B0">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5A54B0" w:rsidRDefault="007A6ABA">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5A54B0" w:rsidRDefault="007A6ABA">
            <w:pPr>
              <w:widowControl/>
              <w:spacing w:line="200" w:lineRule="exact"/>
              <w:jc w:val="left"/>
              <w:rPr>
                <w:rFonts w:ascii="宋体"/>
                <w:kern w:val="0"/>
              </w:rPr>
            </w:pPr>
            <w:r>
              <w:rPr>
                <w:rFonts w:ascii="宋体" w:hint="eastAsia"/>
                <w:kern w:val="0"/>
              </w:rPr>
              <w:t>公开募集</w:t>
            </w:r>
          </w:p>
        </w:tc>
      </w:tr>
      <w:tr w:rsidR="005A54B0">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kern w:val="0"/>
              </w:rPr>
              <w:t>ZZ700322302265</w:t>
            </w:r>
          </w:p>
        </w:tc>
      </w:tr>
      <w:tr w:rsidR="005A54B0">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cs="宋体"/>
                <w:kern w:val="0"/>
              </w:rPr>
              <w:t>Z7003223000200</w:t>
            </w:r>
            <w:r>
              <w:rPr>
                <w:rFonts w:ascii="宋体" w:cs="宋体" w:hint="eastAsia"/>
                <w:kern w:val="0"/>
              </w:rPr>
              <w:t xml:space="preserve"> (</w:t>
            </w:r>
            <w:r>
              <w:rPr>
                <w:rFonts w:ascii="宋体" w:cs="宋体" w:hint="eastAsia"/>
                <w:kern w:val="0"/>
              </w:rPr>
              <w:t>投资者可依据该编码在中国理财网</w:t>
            </w:r>
            <w:r>
              <w:rPr>
                <w:rFonts w:ascii="宋体" w:cs="宋体" w:hint="eastAsia"/>
                <w:kern w:val="0"/>
              </w:rPr>
              <w:t>www.chinawealth.com.cn</w:t>
            </w:r>
            <w:r>
              <w:rPr>
                <w:rFonts w:ascii="宋体" w:cs="宋体" w:hint="eastAsia"/>
                <w:kern w:val="0"/>
              </w:rPr>
              <w:t>查询理财产品相关信息）</w:t>
            </w:r>
          </w:p>
        </w:tc>
      </w:tr>
      <w:tr w:rsidR="005A54B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A</w:t>
            </w:r>
            <w:r>
              <w:rPr>
                <w:rFonts w:ascii="宋体" w:hAnsi="宋体" w:cs="宋体"/>
              </w:rPr>
              <w:t>份额：</w:t>
            </w:r>
            <w:r>
              <w:rPr>
                <w:rFonts w:ascii="宋体" w:hAnsi="宋体" w:cs="宋体"/>
              </w:rPr>
              <w:t>Y30139</w:t>
            </w:r>
          </w:p>
          <w:p w:rsidR="005A54B0" w:rsidRDefault="007A6ABA">
            <w:pPr>
              <w:spacing w:line="200" w:lineRule="exact"/>
            </w:pPr>
            <w:r>
              <w:rPr>
                <w:rFonts w:ascii="宋体" w:hAnsi="宋体" w:cs="宋体"/>
              </w:rPr>
              <w:t>B</w:t>
            </w:r>
            <w:r>
              <w:rPr>
                <w:rFonts w:ascii="宋体" w:hAnsi="宋体" w:cs="宋体"/>
              </w:rPr>
              <w:t>份额：</w:t>
            </w:r>
            <w:r>
              <w:rPr>
                <w:rFonts w:ascii="宋体" w:hAnsi="宋体" w:cs="宋体"/>
              </w:rPr>
              <w:t>Y31139</w:t>
            </w:r>
          </w:p>
          <w:p w:rsidR="005A54B0" w:rsidRDefault="007A6ABA">
            <w:pPr>
              <w:spacing w:line="200" w:lineRule="exact"/>
            </w:pPr>
            <w:r>
              <w:rPr>
                <w:rFonts w:ascii="宋体" w:hAnsi="宋体" w:cs="宋体"/>
              </w:rPr>
              <w:t>C</w:t>
            </w:r>
            <w:r>
              <w:rPr>
                <w:rFonts w:ascii="宋体" w:hAnsi="宋体" w:cs="宋体"/>
              </w:rPr>
              <w:t>份额：</w:t>
            </w:r>
            <w:r>
              <w:rPr>
                <w:rFonts w:ascii="宋体" w:hAnsi="宋体" w:cs="宋体"/>
              </w:rPr>
              <w:t>Y32139</w:t>
            </w:r>
          </w:p>
          <w:p w:rsidR="005A54B0" w:rsidRDefault="007A6ABA">
            <w:pPr>
              <w:spacing w:line="200" w:lineRule="exact"/>
            </w:pPr>
            <w:r>
              <w:rPr>
                <w:rFonts w:ascii="宋体" w:hAnsi="宋体" w:cs="宋体"/>
                <w:b/>
              </w:rPr>
              <w:t>注：本产品不同份额针对不同的销售机构及客群进行销售，设置有不同的销售费和管理费。</w:t>
            </w:r>
          </w:p>
        </w:tc>
      </w:tr>
      <w:tr w:rsidR="005A54B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全国</w:t>
            </w:r>
          </w:p>
        </w:tc>
      </w:tr>
      <w:tr w:rsidR="005A54B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widowControl/>
              <w:spacing w:line="200" w:lineRule="exact"/>
              <w:jc w:val="left"/>
              <w:textAlignment w:val="center"/>
              <w:rPr>
                <w:kern w:val="0"/>
              </w:rPr>
            </w:pPr>
            <w:r>
              <w:rPr>
                <w:rFonts w:ascii="宋体" w:hint="eastAsia"/>
                <w:kern w:val="0"/>
              </w:rPr>
              <w:t>人民币</w:t>
            </w:r>
          </w:p>
        </w:tc>
      </w:tr>
      <w:tr w:rsidR="005A54B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5A54B0">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根据理财产品管理人对理财产品的内部风险评估，本理财产品风险等级为中低风险（本风险等级为管理人内部风险评估结果，仅供参考）。</w:t>
            </w:r>
          </w:p>
          <w:p w:rsidR="005A54B0" w:rsidRDefault="007A6ABA">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5A54B0">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rPr>
              <w:t>符合相关法律法规、监管规定要求的，经销售机构的风险承受能力评估体系评定为适合的个人和机构投资者。</w:t>
            </w:r>
          </w:p>
          <w:p w:rsidR="005A54B0" w:rsidRDefault="007A6ABA">
            <w:pPr>
              <w:spacing w:line="200" w:lineRule="exact"/>
            </w:pPr>
            <w:r>
              <w:rPr>
                <w:rFonts w:ascii="宋体" w:hAnsi="宋体" w:cs="宋体"/>
              </w:rPr>
              <w:t>A</w:t>
            </w:r>
            <w:r>
              <w:rPr>
                <w:rFonts w:ascii="宋体" w:hAnsi="宋体" w:cs="宋体"/>
              </w:rPr>
              <w:t>份额：</w:t>
            </w:r>
            <w:r>
              <w:rPr>
                <w:rFonts w:ascii="宋体" w:hAnsi="宋体" w:cs="宋体" w:hint="eastAsia"/>
              </w:rPr>
              <w:t>除</w:t>
            </w:r>
            <w:r>
              <w:rPr>
                <w:rFonts w:ascii="宋体" w:hAnsi="宋体" w:cs="宋体" w:hint="eastAsia"/>
              </w:rPr>
              <w:t>B</w:t>
            </w:r>
            <w:r>
              <w:rPr>
                <w:rFonts w:ascii="宋体" w:hAnsi="宋体" w:cs="宋体" w:hint="eastAsia"/>
              </w:rPr>
              <w:t>、</w:t>
            </w:r>
            <w:r>
              <w:rPr>
                <w:rFonts w:ascii="宋体" w:hAnsi="宋体" w:cs="宋体" w:hint="eastAsia"/>
              </w:rPr>
              <w:t>C</w:t>
            </w:r>
            <w:r>
              <w:rPr>
                <w:rFonts w:ascii="宋体" w:hAnsi="宋体" w:cs="宋体" w:hint="eastAsia"/>
              </w:rPr>
              <w:t>份额以外的所有客户（详见“销售机构”条款），其中兴业银行股份有限公司仅限特邀客户（特邀客户：指从未买过南银理财鑫逸稳系列产品的客户或兴业银行股份有限公司金融资产不足</w:t>
            </w:r>
            <w:r>
              <w:rPr>
                <w:rFonts w:ascii="宋体" w:hAnsi="宋体" w:cs="宋体" w:hint="eastAsia"/>
              </w:rPr>
              <w:t>1</w:t>
            </w:r>
            <w:r>
              <w:rPr>
                <w:rFonts w:ascii="宋体" w:hAnsi="宋体" w:cs="宋体" w:hint="eastAsia"/>
              </w:rPr>
              <w:t>万元及以上的客户）</w:t>
            </w:r>
            <w:r>
              <w:rPr>
                <w:rFonts w:ascii="宋体" w:hAnsi="宋体" w:cs="宋体"/>
              </w:rPr>
              <w:t>。</w:t>
            </w:r>
          </w:p>
          <w:p w:rsidR="005A54B0" w:rsidRDefault="007A6ABA">
            <w:pPr>
              <w:spacing w:line="200" w:lineRule="exact"/>
            </w:pPr>
            <w:r>
              <w:rPr>
                <w:rFonts w:ascii="宋体" w:hAnsi="宋体" w:cs="宋体"/>
              </w:rPr>
              <w:t>B</w:t>
            </w:r>
            <w:r>
              <w:rPr>
                <w:rFonts w:ascii="宋体" w:hAnsi="宋体" w:cs="宋体"/>
              </w:rPr>
              <w:t>份额：</w:t>
            </w:r>
            <w:r>
              <w:rPr>
                <w:rFonts w:ascii="宋体" w:hAnsi="宋体" w:cs="宋体" w:hint="eastAsia"/>
              </w:rPr>
              <w:t>南京银行股份有限公司新客或新资金</w:t>
            </w:r>
            <w:r>
              <w:rPr>
                <w:rFonts w:ascii="宋体" w:hAnsi="宋体" w:cs="宋体" w:hint="eastAsia"/>
              </w:rPr>
              <w:t>或代发客户；温州银行股份有限公司、烟台银行股份有限公司（工会卡客户）、中邮邮惠万家银行有限责任公司、天津农村商业银行股份有限公司（滨海分行专属）</w:t>
            </w:r>
            <w:r>
              <w:rPr>
                <w:rFonts w:ascii="宋体" w:hAnsi="宋体" w:cs="宋体"/>
              </w:rPr>
              <w:t>。</w:t>
            </w:r>
          </w:p>
          <w:p w:rsidR="005A54B0" w:rsidRDefault="007A6ABA">
            <w:pPr>
              <w:spacing w:line="200" w:lineRule="exact"/>
              <w:rPr>
                <w:rFonts w:ascii="宋体" w:hAnsi="宋体" w:cs="宋体"/>
              </w:rPr>
            </w:pPr>
            <w:r>
              <w:rPr>
                <w:rFonts w:ascii="宋体" w:hAnsi="宋体" w:cs="宋体"/>
              </w:rPr>
              <w:t>C</w:t>
            </w:r>
            <w:r>
              <w:rPr>
                <w:rFonts w:ascii="宋体" w:hAnsi="宋体" w:cs="宋体"/>
              </w:rPr>
              <w:t>份额：</w:t>
            </w:r>
            <w:r>
              <w:rPr>
                <w:rFonts w:ascii="宋体" w:hAnsi="宋体" w:cs="宋体" w:hint="eastAsia"/>
              </w:rPr>
              <w:t>南京银行股份有限公司待提升客户；日照银行股份有限公司、天津农村商业银行股份有限公司（军人客户）、云南红塔银行股份有限公司</w:t>
            </w:r>
            <w:r>
              <w:rPr>
                <w:rFonts w:ascii="宋体" w:hAnsi="宋体" w:cs="宋体"/>
              </w:rPr>
              <w:t>。</w:t>
            </w:r>
          </w:p>
          <w:p w:rsidR="005A54B0" w:rsidRDefault="007A6ABA">
            <w:pPr>
              <w:spacing w:line="200" w:lineRule="exact"/>
            </w:pPr>
            <w:r>
              <w:rPr>
                <w:rFonts w:ascii="宋体" w:hAnsi="宋体" w:cs="宋体"/>
                <w:b/>
              </w:rPr>
              <w:t>注：本产品不同份额针对不同的销售机构及客群进行销售，设置有不同的销售费和管理费。</w:t>
            </w:r>
          </w:p>
          <w:p w:rsidR="005A54B0" w:rsidRDefault="007A6ABA">
            <w:pPr>
              <w:spacing w:line="200" w:lineRule="exact"/>
            </w:pPr>
            <w:r>
              <w:rPr>
                <w:rFonts w:ascii="宋体" w:hAnsi="宋体" w:cs="宋体"/>
                <w:b/>
              </w:rPr>
              <w:t>南京银行新客或新资金或代发客户：</w:t>
            </w:r>
            <w:r>
              <w:rPr>
                <w:rFonts w:ascii="宋体" w:hAnsi="宋体" w:cs="宋体"/>
              </w:rPr>
              <w:t>新客是指购买当月客户等级为</w:t>
            </w:r>
            <w:r>
              <w:rPr>
                <w:rFonts w:ascii="宋体" w:hAnsi="宋体" w:cs="宋体"/>
              </w:rPr>
              <w:t>“</w:t>
            </w:r>
            <w:r>
              <w:rPr>
                <w:rFonts w:ascii="宋体" w:hAnsi="宋体" w:cs="宋体"/>
              </w:rPr>
              <w:t>未评级</w:t>
            </w:r>
            <w:r>
              <w:rPr>
                <w:rFonts w:ascii="宋体" w:hAnsi="宋体" w:cs="宋体"/>
              </w:rPr>
              <w:t>”</w:t>
            </w:r>
            <w:r>
              <w:rPr>
                <w:rFonts w:ascii="宋体" w:hAnsi="宋体" w:cs="宋体"/>
              </w:rPr>
              <w:t>的客户或</w:t>
            </w:r>
            <w:r>
              <w:rPr>
                <w:rFonts w:ascii="宋体" w:hAnsi="宋体" w:cs="宋体"/>
              </w:rPr>
              <w:t>2023</w:t>
            </w:r>
            <w:r>
              <w:rPr>
                <w:rFonts w:ascii="宋体" w:hAnsi="宋体" w:cs="宋体"/>
              </w:rPr>
              <w:t>年无理财交易的客户。新资金是指南京银行金融资产余额较上月月日均增长</w:t>
            </w:r>
            <w:r>
              <w:rPr>
                <w:rFonts w:ascii="宋体" w:hAnsi="宋体" w:cs="宋体"/>
              </w:rPr>
              <w:t>1</w:t>
            </w:r>
            <w:r>
              <w:rPr>
                <w:rFonts w:ascii="宋体" w:hAnsi="宋体" w:cs="宋体"/>
              </w:rPr>
              <w:t>万元及以上的客户。代发是指近</w:t>
            </w:r>
            <w:r>
              <w:rPr>
                <w:rFonts w:ascii="宋体" w:hAnsi="宋体" w:cs="宋体"/>
              </w:rPr>
              <w:t>90</w:t>
            </w:r>
            <w:r>
              <w:rPr>
                <w:rFonts w:ascii="宋体" w:hAnsi="宋体" w:cs="宋体"/>
              </w:rPr>
              <w:t>天内有过代发记录的客户。</w:t>
            </w:r>
          </w:p>
          <w:p w:rsidR="005A54B0" w:rsidRDefault="007A6ABA">
            <w:pPr>
              <w:spacing w:line="200" w:lineRule="exact"/>
            </w:pPr>
            <w:r>
              <w:rPr>
                <w:rFonts w:ascii="宋体" w:hAnsi="宋体" w:cs="宋体"/>
                <w:b/>
              </w:rPr>
              <w:t>南京银行待提升客户：</w:t>
            </w:r>
            <w:r>
              <w:rPr>
                <w:rFonts w:ascii="宋体" w:hAnsi="宋体" w:cs="宋体"/>
              </w:rPr>
              <w:t>待提升客户是指</w:t>
            </w:r>
            <w:r>
              <w:rPr>
                <w:rFonts w:ascii="宋体" w:hAnsi="宋体" w:cs="宋体"/>
              </w:rPr>
              <w:t>2023</w:t>
            </w:r>
            <w:r>
              <w:rPr>
                <w:rFonts w:ascii="宋体" w:hAnsi="宋体" w:cs="宋体"/>
              </w:rPr>
              <w:t>年</w:t>
            </w:r>
            <w:r>
              <w:rPr>
                <w:rFonts w:ascii="宋体" w:hAnsi="宋体" w:cs="宋体"/>
              </w:rPr>
              <w:t>3</w:t>
            </w:r>
            <w:r>
              <w:rPr>
                <w:rFonts w:ascii="宋体" w:hAnsi="宋体" w:cs="宋体"/>
              </w:rPr>
              <w:t>月末较</w:t>
            </w:r>
            <w:r>
              <w:rPr>
                <w:rFonts w:ascii="宋体" w:hAnsi="宋体" w:cs="宋体"/>
              </w:rPr>
              <w:t>2022</w:t>
            </w:r>
            <w:r>
              <w:rPr>
                <w:rFonts w:ascii="宋体" w:hAnsi="宋体" w:cs="宋体"/>
              </w:rPr>
              <w:t>年</w:t>
            </w:r>
            <w:r>
              <w:rPr>
                <w:rFonts w:ascii="宋体" w:hAnsi="宋体" w:cs="宋体"/>
              </w:rPr>
              <w:t>6</w:t>
            </w:r>
            <w:r>
              <w:rPr>
                <w:rFonts w:ascii="宋体" w:hAnsi="宋体" w:cs="宋体"/>
              </w:rPr>
              <w:t>月末理财余额下降</w:t>
            </w:r>
            <w:r>
              <w:rPr>
                <w:rFonts w:ascii="宋体" w:hAnsi="宋体" w:cs="宋体"/>
              </w:rPr>
              <w:t>5</w:t>
            </w:r>
            <w:r>
              <w:rPr>
                <w:rFonts w:ascii="宋体" w:hAnsi="宋体" w:cs="宋体"/>
              </w:rPr>
              <w:t>万及以上客户。</w:t>
            </w:r>
          </w:p>
        </w:tc>
      </w:tr>
      <w:tr w:rsidR="005A54B0">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p>
          <w:p w:rsidR="005A54B0" w:rsidRDefault="007A6ABA">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5A54B0" w:rsidRDefault="007A6ABA">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5A54B0" w:rsidRDefault="007A6ABA">
            <w:pPr>
              <w:spacing w:line="200" w:lineRule="exact"/>
            </w:pPr>
            <w:r>
              <w:rPr>
                <w:rFonts w:ascii="宋体" w:hAnsi="宋体" w:cs="宋体"/>
              </w:rPr>
              <w:t>后续在符合监管政策规定的条件下，理财产品管理人有权对上述投资起点金额和递增金额进</w:t>
            </w:r>
            <w:r>
              <w:rPr>
                <w:rFonts w:ascii="宋体" w:hAnsi="宋体" w:cs="宋体"/>
              </w:rPr>
              <w:t>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5A54B0" w:rsidRDefault="007A6ABA">
            <w:pPr>
              <w:spacing w:line="200" w:lineRule="exact"/>
            </w:pPr>
            <w:r>
              <w:rPr>
                <w:rFonts w:ascii="宋体" w:hAnsi="宋体" w:cs="宋体"/>
              </w:rPr>
              <w:t>代销机构可根据其销售需要对投资起点金额、递增金额进行重新设定，投资者通过代销机构购买本理财产品的，以该代销机构最终披露的投资起点金额、递增金额为准。</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，管理人有权拒绝导致投资者持有份额突破前述</w:t>
            </w:r>
            <w:r>
              <w:rPr>
                <w:rFonts w:ascii="宋体" w:hAnsi="宋体" w:cs="宋体"/>
              </w:rPr>
              <w:t>50%</w:t>
            </w:r>
            <w:r>
              <w:rPr>
                <w:rFonts w:ascii="宋体" w:hAnsi="宋体" w:cs="宋体"/>
              </w:rPr>
              <w:t>比例限制的认申购申请。</w:t>
            </w:r>
          </w:p>
          <w:p w:rsidR="005A54B0" w:rsidRDefault="007A6ABA">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25</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31</w:t>
            </w:r>
            <w:r>
              <w:rPr>
                <w:rFonts w:ascii="宋体" w:hAnsi="宋体" w:cs="宋体"/>
                <w:color w:val="000000"/>
              </w:rPr>
              <w:t>日</w:t>
            </w:r>
            <w:r>
              <w:rPr>
                <w:rFonts w:ascii="宋体" w:hAnsi="宋体" w:cs="宋体"/>
                <w:color w:val="000000"/>
              </w:rPr>
              <w:t xml:space="preserve"> </w:t>
            </w:r>
            <w:r>
              <w:rPr>
                <w:rFonts w:ascii="宋体" w:hAnsi="宋体" w:cs="宋体"/>
                <w:color w:val="000000"/>
              </w:rPr>
              <w:t>17:00</w:t>
            </w:r>
            <w:r>
              <w:rPr>
                <w:rFonts w:ascii="宋体" w:hAnsi="宋体" w:cs="宋体"/>
                <w:color w:val="000000"/>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kern w:val="0"/>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5A54B0">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rPr>
                <w:rFonts w:ascii="宋体"/>
                <w:color w:val="000000"/>
                <w:kern w:val="0"/>
              </w:rPr>
            </w:pPr>
            <w:r>
              <w:rPr>
                <w:rFonts w:ascii="宋体" w:hint="eastAsia"/>
                <w:color w:val="000000"/>
                <w:kern w:val="0"/>
              </w:rPr>
              <w:t>同产品成立日</w:t>
            </w:r>
          </w:p>
        </w:tc>
      </w:tr>
      <w:tr w:rsidR="005A54B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int="eastAsia"/>
                <w:kern w:val="0"/>
              </w:rPr>
              <w:t>2023</w:t>
            </w:r>
            <w:r>
              <w:rPr>
                <w:rFonts w:ascii="宋体" w:hint="eastAsia"/>
                <w:kern w:val="0"/>
              </w:rPr>
              <w:t>年</w:t>
            </w:r>
            <w:r>
              <w:rPr>
                <w:rFonts w:ascii="宋体" w:hint="eastAsia"/>
                <w:kern w:val="0"/>
              </w:rPr>
              <w:t>11</w:t>
            </w:r>
            <w:r>
              <w:rPr>
                <w:rFonts w:ascii="宋体" w:hint="eastAsia"/>
                <w:kern w:val="0"/>
              </w:rPr>
              <w:t>月</w:t>
            </w:r>
            <w:r>
              <w:rPr>
                <w:rFonts w:ascii="宋体" w:hint="eastAsia"/>
                <w:kern w:val="0"/>
              </w:rPr>
              <w:t>01</w:t>
            </w:r>
            <w:r>
              <w:rPr>
                <w:rFonts w:ascii="宋体" w:hint="eastAsia"/>
                <w:kern w:val="0"/>
              </w:rPr>
              <w:t>日</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2023</w:t>
            </w:r>
            <w:r>
              <w:rPr>
                <w:rFonts w:ascii="宋体" w:hAnsi="宋体" w:cs="宋体"/>
              </w:rPr>
              <w:t>年</w:t>
            </w:r>
            <w:r>
              <w:rPr>
                <w:rFonts w:ascii="宋体" w:hAnsi="宋体" w:cs="宋体"/>
              </w:rPr>
              <w:t>11</w:t>
            </w:r>
            <w:r>
              <w:rPr>
                <w:rFonts w:ascii="宋体" w:hAnsi="宋体" w:cs="宋体"/>
              </w:rPr>
              <w:t>月</w:t>
            </w:r>
            <w:r>
              <w:rPr>
                <w:rFonts w:ascii="宋体" w:hAnsi="宋体" w:cs="宋体"/>
              </w:rPr>
              <w:t>01</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399</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5A54B0">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2024</w:t>
            </w:r>
            <w:r>
              <w:rPr>
                <w:rFonts w:ascii="宋体" w:hint="eastAsia"/>
                <w:kern w:val="0"/>
              </w:rPr>
              <w:t>年</w:t>
            </w:r>
            <w:r>
              <w:rPr>
                <w:rFonts w:ascii="宋体" w:hint="eastAsia"/>
                <w:kern w:val="0"/>
              </w:rPr>
              <w:t>12</w:t>
            </w:r>
            <w:r>
              <w:rPr>
                <w:rFonts w:ascii="宋体" w:hint="eastAsia"/>
                <w:kern w:val="0"/>
              </w:rPr>
              <w:t>月</w:t>
            </w:r>
            <w:r>
              <w:rPr>
                <w:rFonts w:ascii="宋体" w:hint="eastAsia"/>
                <w:kern w:val="0"/>
              </w:rPr>
              <w:t>04</w:t>
            </w:r>
            <w:r>
              <w:rPr>
                <w:rFonts w:ascii="宋体" w:hint="eastAsia"/>
                <w:kern w:val="0"/>
              </w:rPr>
              <w:t>日</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w:t>
            </w:r>
            <w:r>
              <w:rPr>
                <w:rFonts w:ascii="宋体" w:hAnsi="宋体" w:cs="宋体"/>
                <w:color w:val="000000"/>
              </w:rPr>
              <w:t>R</w:t>
            </w:r>
            <w:r>
              <w:rPr>
                <w:rFonts w:ascii="宋体" w:hAnsi="宋体" w:cs="宋体"/>
                <w:color w:val="000000"/>
              </w:rPr>
              <w:t>为期末理财产品单位净值。（已扣除相关费用，到期兑付金额以去尾法保留两位小数）</w:t>
            </w:r>
          </w:p>
        </w:tc>
      </w:tr>
      <w:tr w:rsidR="005A54B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5A54B0" w:rsidRDefault="007A6ABA">
            <w:pPr>
              <w:spacing w:line="200" w:lineRule="exact"/>
            </w:pPr>
            <w:r>
              <w:rPr>
                <w:rFonts w:ascii="宋体" w:hAnsi="宋体" w:cs="宋体"/>
              </w:rPr>
              <w:t>产品到期后，理财产品管理人和代销机构将根据理财资金所投资资产实际运作情况向投资者分配到期款项。</w:t>
            </w:r>
          </w:p>
        </w:tc>
      </w:tr>
      <w:tr w:rsidR="005A54B0">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5A54B0" w:rsidRDefault="007A6ABA">
            <w:pPr>
              <w:spacing w:line="200" w:lineRule="exact"/>
            </w:pPr>
            <w:r>
              <w:rPr>
                <w:rFonts w:ascii="宋体" w:hAnsi="宋体" w:cs="宋体"/>
              </w:rPr>
              <w:t>分红权益登记日指管理人确认投资者所持份额是否享受本次分红的日期。</w:t>
            </w:r>
          </w:p>
        </w:tc>
      </w:tr>
      <w:tr w:rsidR="005A54B0">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rPr>
              <w:t>本理财产品募集的资金投资于以下金融资产和金融工具，包括但不限于：</w:t>
            </w:r>
          </w:p>
          <w:p w:rsidR="005A54B0" w:rsidRDefault="007A6ABA">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5A54B0" w:rsidRDefault="007A6ABA">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券、短期融资券、公司债、可转债、可交债、非公开定向债务融资工具</w:t>
            </w:r>
            <w:r>
              <w:rPr>
                <w:rFonts w:ascii="宋体" w:hAnsi="宋体" w:cs="宋体"/>
              </w:rPr>
              <w:t>(PPN)</w:t>
            </w:r>
            <w:r>
              <w:rPr>
                <w:rFonts w:ascii="宋体" w:hAnsi="宋体" w:cs="宋体"/>
              </w:rPr>
              <w:t>、公募债券型证券投资基金等标准化债权类资产；</w:t>
            </w:r>
          </w:p>
          <w:p w:rsidR="005A54B0" w:rsidRDefault="007A6ABA">
            <w:pPr>
              <w:spacing w:line="200" w:lineRule="exact"/>
              <w:jc w:val="left"/>
            </w:pPr>
            <w:r>
              <w:rPr>
                <w:rFonts w:ascii="宋体" w:hAnsi="宋体" w:cs="宋体"/>
              </w:rPr>
              <w:t>3.</w:t>
            </w:r>
            <w:r>
              <w:rPr>
                <w:rFonts w:ascii="宋体" w:hAnsi="宋体" w:cs="宋体"/>
              </w:rPr>
              <w:t>信托贷款、收受益权、应收账款、债权融资类产品、同业借款、收益凭证、债权投资计划和资产支持计划、信贷资产流转和收益权转让产品、场内股票质押回购、场外股票质押融</w:t>
            </w:r>
            <w:r>
              <w:rPr>
                <w:rFonts w:ascii="宋体" w:hAnsi="宋体" w:cs="宋体"/>
              </w:rPr>
              <w:t>资等资产，以及符合监管要求的其他非标准化债权类资产；</w:t>
            </w:r>
          </w:p>
          <w:p w:rsidR="005A54B0" w:rsidRDefault="007A6ABA">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5A54B0" w:rsidRDefault="007A6ABA">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5A54B0" w:rsidRDefault="007A6ABA">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5A54B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5A54B0" w:rsidRDefault="007A6ABA">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5A54B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5A54B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b/>
              </w:rPr>
              <w:t>本理财产品拟投资以下备选非标准化债权类资产：</w:t>
            </w:r>
          </w:p>
          <w:p w:rsidR="005A54B0" w:rsidRDefault="007A6ABA">
            <w:pPr>
              <w:spacing w:line="200" w:lineRule="exact"/>
              <w:rPr>
                <w:rFonts w:ascii="宋体" w:hAnsi="宋体" w:cs="宋体"/>
              </w:rPr>
            </w:pPr>
            <w:r>
              <w:rPr>
                <w:rFonts w:ascii="宋体" w:hAnsi="宋体" w:cs="宋体"/>
              </w:rPr>
              <w:t>1.</w:t>
            </w:r>
            <w:r>
              <w:rPr>
                <w:rFonts w:ascii="宋体" w:hAnsi="宋体" w:cs="宋体"/>
              </w:rPr>
              <w:t>同业借款，融资人为民生金融租赁股份有限公司，融资人评级为</w:t>
            </w:r>
            <w:r>
              <w:rPr>
                <w:rFonts w:ascii="宋体" w:hAnsi="宋体" w:cs="宋体"/>
              </w:rPr>
              <w:t>AAA</w:t>
            </w:r>
            <w:r>
              <w:rPr>
                <w:rFonts w:ascii="宋体" w:hAnsi="宋体" w:cs="宋体"/>
              </w:rPr>
              <w:t>（评级机构为联合资信评估股份有限公司）。</w:t>
            </w:r>
            <w:r>
              <w:rPr>
                <w:rFonts w:ascii="宋体" w:hAnsi="宋体" w:cs="宋体"/>
              </w:rPr>
              <w:br/>
              <w:t>2.</w:t>
            </w:r>
            <w:r>
              <w:rPr>
                <w:rFonts w:ascii="宋体" w:hAnsi="宋体" w:cs="宋体"/>
              </w:rPr>
              <w:t>同业借款，融资人为河南九鼎金融租赁股份有限公司，融资人评级为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3.</w:t>
            </w:r>
            <w:r>
              <w:rPr>
                <w:rFonts w:ascii="宋体" w:hAnsi="宋体" w:cs="宋体"/>
              </w:rPr>
              <w:t>同业借款，融资人为华夏金融租赁有限公司，融资人评级为</w:t>
            </w:r>
            <w:r>
              <w:rPr>
                <w:rFonts w:ascii="宋体" w:hAnsi="宋体" w:cs="宋体"/>
              </w:rPr>
              <w:t>AAA</w:t>
            </w:r>
            <w:r>
              <w:rPr>
                <w:rFonts w:ascii="宋体" w:hAnsi="宋体" w:cs="宋体"/>
              </w:rPr>
              <w:t>（评级机</w:t>
            </w:r>
            <w:r>
              <w:rPr>
                <w:rFonts w:ascii="宋体" w:hAnsi="宋体" w:cs="宋体"/>
              </w:rPr>
              <w:t>构为中诚信国际信用评级有限责任公司）。</w:t>
            </w:r>
            <w:r>
              <w:rPr>
                <w:rFonts w:ascii="宋体" w:hAnsi="宋体" w:cs="宋体"/>
              </w:rPr>
              <w:br/>
              <w:t>4.</w:t>
            </w:r>
            <w:r>
              <w:rPr>
                <w:rFonts w:ascii="宋体" w:hAnsi="宋体" w:cs="宋体"/>
              </w:rPr>
              <w:t>同业借款，融资人为中信金融租赁有限公司，融资人未评级。</w:t>
            </w:r>
            <w:r>
              <w:rPr>
                <w:rFonts w:ascii="宋体" w:hAnsi="宋体" w:cs="宋体"/>
              </w:rPr>
              <w:br/>
              <w:t>5.</w:t>
            </w:r>
            <w:r>
              <w:rPr>
                <w:rFonts w:ascii="宋体" w:hAnsi="宋体" w:cs="宋体"/>
              </w:rPr>
              <w:t>同业借款，融资人为徽银金融租赁有限公司，融资人评级为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6.</w:t>
            </w:r>
            <w:r>
              <w:rPr>
                <w:rFonts w:ascii="宋体" w:hAnsi="宋体" w:cs="宋体"/>
              </w:rPr>
              <w:t>同业借款，融资人为兴业消费金融股份公司，融资人评级为</w:t>
            </w:r>
            <w:r>
              <w:rPr>
                <w:rFonts w:ascii="宋体" w:hAnsi="宋体" w:cs="宋体"/>
              </w:rPr>
              <w:t>AAA</w:t>
            </w:r>
            <w:r>
              <w:rPr>
                <w:rFonts w:ascii="宋体" w:hAnsi="宋体" w:cs="宋体"/>
              </w:rPr>
              <w:t>（评级机构为中诚信国际信用评级有限责任公司）。</w:t>
            </w:r>
          </w:p>
          <w:p w:rsidR="005A54B0" w:rsidRDefault="007A6ABA">
            <w:pPr>
              <w:spacing w:line="200" w:lineRule="exact"/>
            </w:pPr>
            <w:r>
              <w:rPr>
                <w:rFonts w:ascii="宋体" w:hAnsi="宋体" w:cs="宋体" w:hint="eastAsia"/>
              </w:rPr>
              <w:t>7</w:t>
            </w:r>
            <w:r>
              <w:rPr>
                <w:rFonts w:ascii="宋体" w:hAnsi="宋体" w:cs="宋体"/>
              </w:rPr>
              <w:t>.</w:t>
            </w:r>
            <w:r>
              <w:rPr>
                <w:rFonts w:ascii="宋体" w:hAnsi="宋体" w:cs="宋体"/>
              </w:rPr>
              <w:t>信托贷款：资产类型为信托公司设立的资金信托计划，底层资产为深圳智领星辰科技有限公司作为运营方，提供互联网信息和技术支持能力，与具有合法资质的授信机构合作，为用户提供的在线消费金融服务（抖音</w:t>
            </w:r>
            <w:r>
              <w:rPr>
                <w:rFonts w:ascii="宋体" w:hAnsi="宋体" w:cs="宋体"/>
              </w:rPr>
              <w:t>月付），用户在特定场景下购买商品或服务时，授信机构依据授信额度向用户提供信用贷款。</w:t>
            </w:r>
          </w:p>
          <w:p w:rsidR="005A54B0" w:rsidRDefault="007A6ABA">
            <w:pPr>
              <w:spacing w:line="200" w:lineRule="exact"/>
            </w:pPr>
            <w:r>
              <w:rPr>
                <w:rFonts w:ascii="宋体" w:hAnsi="宋体" w:cs="宋体" w:hint="eastAsia"/>
              </w:rPr>
              <w:t>8</w:t>
            </w:r>
            <w:r>
              <w:rPr>
                <w:rFonts w:ascii="宋体" w:hAnsi="宋体" w:cs="宋体"/>
              </w:rPr>
              <w:t>.</w:t>
            </w:r>
            <w:r>
              <w:rPr>
                <w:rFonts w:ascii="宋体" w:hAnsi="宋体" w:cs="宋体"/>
              </w:rPr>
              <w:t>信托贷款：资产类型为信托公司设立的资金信托计划，底层资产为蚂蚁智信（杭州）信息技术有限公司作为综合服务顾问，具有专业资质的金融机构向用户发放的消费授信付款资产，信用增进人为中国投融资担保股份有限公司，信用增进人评级为</w:t>
            </w:r>
            <w:r>
              <w:rPr>
                <w:rFonts w:ascii="宋体" w:hAnsi="宋体" w:cs="宋体"/>
              </w:rPr>
              <w:t>AAA</w:t>
            </w:r>
            <w:r>
              <w:rPr>
                <w:rFonts w:ascii="宋体" w:hAnsi="宋体" w:cs="宋体"/>
              </w:rPr>
              <w:t>（评级机构为中诚信国际信用评级有限责任公司）。</w:t>
            </w:r>
          </w:p>
          <w:p w:rsidR="005A54B0" w:rsidRDefault="007A6ABA">
            <w:pPr>
              <w:spacing w:line="200" w:lineRule="exact"/>
            </w:pPr>
            <w:r>
              <w:rPr>
                <w:rFonts w:ascii="宋体" w:hAnsi="宋体" w:cs="宋体" w:hint="eastAsia"/>
              </w:rPr>
              <w:t>9</w:t>
            </w:r>
            <w:r>
              <w:rPr>
                <w:rFonts w:ascii="宋体" w:hAnsi="宋体" w:cs="宋体"/>
              </w:rPr>
              <w:t>.</w:t>
            </w:r>
            <w:r>
              <w:rPr>
                <w:rFonts w:ascii="宋体" w:hAnsi="宋体" w:cs="宋体"/>
              </w:rPr>
              <w:t>同业借款，融资人为渝农商金融租赁有限责任公司，融资人评级为</w:t>
            </w:r>
            <w:r>
              <w:rPr>
                <w:rFonts w:ascii="宋体" w:hAnsi="宋体" w:cs="宋体"/>
              </w:rPr>
              <w:t>AAA</w:t>
            </w:r>
            <w:r>
              <w:rPr>
                <w:rFonts w:ascii="宋体" w:hAnsi="宋体" w:cs="宋体"/>
              </w:rPr>
              <w:t>（评级机构为中诚信国际信用评级有限责任公司）。</w:t>
            </w:r>
          </w:p>
          <w:p w:rsidR="005A54B0" w:rsidRDefault="007A6ABA">
            <w:pPr>
              <w:spacing w:line="200" w:lineRule="exact"/>
            </w:pPr>
            <w:r>
              <w:rPr>
                <w:rFonts w:ascii="宋体" w:hAnsi="宋体" w:cs="宋体"/>
                <w:b/>
              </w:rPr>
              <w:t>以上资产剩余期限均不超过产品期限。</w:t>
            </w:r>
          </w:p>
          <w:p w:rsidR="005A54B0" w:rsidRDefault="007A6ABA">
            <w:pPr>
              <w:spacing w:line="200" w:lineRule="exact"/>
            </w:pPr>
            <w:r>
              <w:rPr>
                <w:rFonts w:ascii="宋体" w:hAnsi="宋体" w:cs="宋体"/>
                <w:b/>
              </w:rPr>
              <w:t>产</w:t>
            </w:r>
            <w:r>
              <w:rPr>
                <w:rFonts w:ascii="宋体" w:hAnsi="宋体" w:cs="宋体"/>
                <w:b/>
              </w:rPr>
              <w:t>品管理人将优先选择上述备选非标准化债权类资产中的一笔或者多笔作为本理财产品投资的非标准化债权类资产，并在本理财产品的定期报告中进行信息披露。</w:t>
            </w:r>
          </w:p>
          <w:p w:rsidR="005A54B0" w:rsidRDefault="007A6ABA">
            <w:pPr>
              <w:spacing w:line="200" w:lineRule="exact"/>
            </w:pPr>
            <w:r>
              <w:rPr>
                <w:rFonts w:ascii="宋体" w:hAnsi="宋体" w:cs="宋体"/>
                <w:b/>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若本理财产品在募集期，则管理人有权决定本理财产品提前结束募集，产品将不成立。此时销售机构将解除对投资者授权指定账户认购资金的冻结或返还认购资金，自投资者认购至解除冻结资金或返还认购资金</w:t>
            </w:r>
            <w:r>
              <w:rPr>
                <w:rFonts w:ascii="宋体" w:hAnsi="宋体" w:cs="宋体"/>
                <w:b/>
              </w:rPr>
              <w:t>期间产品不计任何收益。</w:t>
            </w:r>
            <w:r>
              <w:rPr>
                <w:rFonts w:ascii="宋体" w:hAnsi="宋体" w:cs="宋体"/>
                <w:b/>
              </w:rPr>
              <w:t>2.</w:t>
            </w:r>
            <w:r>
              <w:rPr>
                <w:rFonts w:ascii="宋体" w:hAnsi="宋体" w:cs="宋体"/>
                <w:b/>
              </w:rPr>
              <w:t>若本理财产品已成立，则管理人有权提前终止本理财产品，自产品成立至提前终止日期间不计任何收益。</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bCs/>
                <w:kern w:val="0"/>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A</w:t>
            </w:r>
            <w:r>
              <w:rPr>
                <w:rFonts w:ascii="宋体" w:hAnsi="宋体" w:cs="宋体"/>
              </w:rPr>
              <w:t>份额：业绩比较基准</w:t>
            </w:r>
            <w:r>
              <w:rPr>
                <w:rFonts w:ascii="宋体" w:hAnsi="宋体" w:cs="宋体" w:hint="eastAsia"/>
              </w:rPr>
              <w:t>3.2%-</w:t>
            </w:r>
            <w:r>
              <w:rPr>
                <w:rFonts w:ascii="宋体" w:hAnsi="宋体" w:cs="宋体" w:hint="eastAsia"/>
              </w:rPr>
              <w:t>3.8</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5A54B0" w:rsidRDefault="007A6ABA">
            <w:pPr>
              <w:spacing w:line="200" w:lineRule="exact"/>
            </w:pPr>
            <w:r>
              <w:rPr>
                <w:rFonts w:ascii="宋体" w:hAnsi="宋体" w:cs="宋体"/>
              </w:rPr>
              <w:t>B</w:t>
            </w:r>
            <w:r>
              <w:rPr>
                <w:rFonts w:ascii="宋体" w:hAnsi="宋体" w:cs="宋体"/>
              </w:rPr>
              <w:t>份额：业绩比较基准</w:t>
            </w:r>
            <w:r>
              <w:rPr>
                <w:rFonts w:ascii="宋体" w:hAnsi="宋体" w:cs="宋体" w:hint="eastAsia"/>
              </w:rPr>
              <w:t>3.3%-</w:t>
            </w:r>
            <w:r>
              <w:rPr>
                <w:rFonts w:ascii="宋体" w:hAnsi="宋体" w:cs="宋体" w:hint="eastAsia"/>
              </w:rPr>
              <w:t>3.9</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5A54B0" w:rsidRDefault="007A6ABA">
            <w:pPr>
              <w:spacing w:line="200" w:lineRule="exact"/>
            </w:pPr>
            <w:r>
              <w:rPr>
                <w:rFonts w:ascii="宋体" w:hAnsi="宋体" w:cs="宋体"/>
              </w:rPr>
              <w:t>C</w:t>
            </w:r>
            <w:r>
              <w:rPr>
                <w:rFonts w:ascii="宋体" w:hAnsi="宋体" w:cs="宋体"/>
              </w:rPr>
              <w:t>份额：业绩比较基准</w:t>
            </w:r>
            <w:r>
              <w:rPr>
                <w:rFonts w:ascii="宋体" w:hAnsi="宋体" w:cs="宋体" w:hint="eastAsia"/>
              </w:rPr>
              <w:t>3.4%-4.</w:t>
            </w:r>
            <w:r>
              <w:rPr>
                <w:rFonts w:ascii="宋体" w:hAnsi="宋体" w:cs="宋体" w:hint="eastAsia"/>
              </w:rPr>
              <w:t>0</w:t>
            </w:r>
            <w:r>
              <w:rPr>
                <w:rFonts w:ascii="宋体" w:hAnsi="宋体" w:cs="宋体"/>
              </w:rPr>
              <w:t>%(</w:t>
            </w:r>
            <w:r>
              <w:rPr>
                <w:rFonts w:ascii="宋体" w:hAnsi="宋体" w:cs="宋体"/>
              </w:rPr>
              <w:t>年化</w:t>
            </w:r>
            <w:r>
              <w:rPr>
                <w:rFonts w:ascii="宋体" w:hAnsi="宋体" w:cs="宋体"/>
              </w:rPr>
              <w:t>)</w:t>
            </w:r>
            <w:r>
              <w:rPr>
                <w:rFonts w:ascii="宋体" w:hAnsi="宋体" w:cs="宋体"/>
              </w:rPr>
              <w:t>。</w:t>
            </w:r>
          </w:p>
          <w:p w:rsidR="005A54B0" w:rsidRDefault="007A6ABA">
            <w:pPr>
              <w:spacing w:line="200" w:lineRule="exact"/>
            </w:pPr>
            <w:r>
              <w:rPr>
                <w:rFonts w:ascii="宋体" w:hAnsi="宋体" w:cs="宋体"/>
              </w:rPr>
              <w:t>本产品不同份额针对不同的销售机构及客群进行销售，设置有不同的销售费和管理费，导致业绩基准测算结果不同。</w:t>
            </w:r>
          </w:p>
          <w:p w:rsidR="005A54B0" w:rsidRDefault="007A6ABA">
            <w:pPr>
              <w:spacing w:line="200" w:lineRule="exact"/>
            </w:pPr>
            <w:r>
              <w:rPr>
                <w:rFonts w:ascii="宋体" w:hAnsi="宋体" w:cs="宋体"/>
              </w:rPr>
              <w:t>本理财产品业绩比较基准是管理人基于过往投资经验、对产品存续期拟投资标的和相应投资市场波动的预判设定的投资目标。本理财产品投资于固定收益类资产的比例为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。结合债券市场和拟投资的非标准化债权类资产的收益和波动水平预判，在本理财产品约定的投资策略基础上，管理人设定了本理财产品投资周期内的业绩比较基准。</w:t>
            </w:r>
          </w:p>
          <w:p w:rsidR="005A54B0" w:rsidRDefault="007A6ABA">
            <w:pPr>
              <w:spacing w:line="200" w:lineRule="exact"/>
            </w:pPr>
            <w:r>
              <w:rPr>
                <w:rFonts w:ascii="宋体" w:hAnsi="宋体" w:cs="宋体"/>
                <w:b/>
              </w:rPr>
              <w:t>本理财产品为净值型理财产品，业绩比较基准不是预期收益率，不代表产品的未来表现和实际收益，不构成对产品收益的承诺。</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rFonts w:ascii="宋体"/>
                <w:bCs/>
                <w:kern w:val="0"/>
              </w:rPr>
            </w:pPr>
            <w:r>
              <w:rPr>
                <w:rFonts w:ascii="宋体" w:hint="eastAsia"/>
                <w:kern w:val="0"/>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5A54B0" w:rsidRDefault="007A6ABA">
            <w:pPr>
              <w:spacing w:line="200" w:lineRule="exact"/>
            </w:pPr>
            <w:r>
              <w:rPr>
                <w:rFonts w:ascii="宋体" w:hAnsi="宋体" w:cs="宋体"/>
                <w:b/>
              </w:rPr>
              <w:t>赎回费：本理财产品暂不收取赎回费。</w:t>
            </w:r>
          </w:p>
          <w:p w:rsidR="005A54B0" w:rsidRDefault="007A6ABA">
            <w:pPr>
              <w:spacing w:line="200" w:lineRule="exact"/>
            </w:pPr>
            <w:r>
              <w:rPr>
                <w:rFonts w:ascii="宋体" w:hAnsi="宋体" w:cs="宋体"/>
                <w:b/>
              </w:rPr>
              <w:t>销售费：本理财产品按前一日理财产品资产净值收取销售费，按日计提。</w:t>
            </w:r>
          </w:p>
          <w:p w:rsidR="005A54B0" w:rsidRDefault="007A6ABA">
            <w:pPr>
              <w:spacing w:line="200" w:lineRule="exact"/>
            </w:pPr>
            <w:r>
              <w:rPr>
                <w:rFonts w:ascii="宋体" w:hAnsi="宋体" w:cs="宋体"/>
                <w:b/>
              </w:rPr>
              <w:t>A</w:t>
            </w:r>
            <w:r>
              <w:rPr>
                <w:rFonts w:ascii="宋体" w:hAnsi="宋体" w:cs="宋体"/>
                <w:b/>
              </w:rPr>
              <w:t>份额：销售费年化</w:t>
            </w:r>
            <w:r>
              <w:rPr>
                <w:rFonts w:ascii="宋体" w:hAnsi="宋体" w:cs="宋体"/>
                <w:b/>
              </w:rPr>
              <w:t>0.2%</w:t>
            </w:r>
            <w:r>
              <w:rPr>
                <w:rFonts w:ascii="宋体" w:hAnsi="宋体" w:cs="宋体"/>
                <w:b/>
              </w:rPr>
              <w:t>。</w:t>
            </w:r>
          </w:p>
          <w:p w:rsidR="005A54B0" w:rsidRDefault="007A6ABA">
            <w:pPr>
              <w:spacing w:line="200" w:lineRule="exact"/>
            </w:pPr>
            <w:r>
              <w:rPr>
                <w:rFonts w:ascii="宋体" w:hAnsi="宋体" w:cs="宋体"/>
                <w:b/>
              </w:rPr>
              <w:t>B</w:t>
            </w:r>
            <w:r>
              <w:rPr>
                <w:rFonts w:ascii="宋体" w:hAnsi="宋体" w:cs="宋体"/>
                <w:b/>
              </w:rPr>
              <w:t>份额：销售费年化</w:t>
            </w:r>
            <w:r>
              <w:rPr>
                <w:rFonts w:ascii="宋体" w:hAnsi="宋体" w:cs="宋体"/>
                <w:b/>
              </w:rPr>
              <w:t>0.1</w:t>
            </w:r>
            <w:r>
              <w:rPr>
                <w:rFonts w:ascii="宋体" w:hAnsi="宋体" w:cs="宋体" w:hint="eastAsia"/>
                <w:b/>
              </w:rPr>
              <w:t>5</w:t>
            </w:r>
            <w:r>
              <w:rPr>
                <w:rFonts w:ascii="宋体" w:hAnsi="宋体" w:cs="宋体"/>
                <w:b/>
              </w:rPr>
              <w:t>%</w:t>
            </w:r>
            <w:r>
              <w:rPr>
                <w:rFonts w:ascii="宋体" w:hAnsi="宋体" w:cs="宋体"/>
                <w:b/>
              </w:rPr>
              <w:t>。</w:t>
            </w:r>
          </w:p>
          <w:p w:rsidR="005A54B0" w:rsidRDefault="007A6ABA">
            <w:pPr>
              <w:spacing w:line="200" w:lineRule="exact"/>
              <w:rPr>
                <w:rFonts w:ascii="宋体" w:hAnsi="宋体" w:cs="宋体"/>
                <w:b/>
              </w:rPr>
            </w:pPr>
            <w:r>
              <w:rPr>
                <w:rFonts w:ascii="宋体" w:hAnsi="宋体" w:cs="宋体"/>
                <w:b/>
              </w:rPr>
              <w:t>C</w:t>
            </w:r>
            <w:r>
              <w:rPr>
                <w:rFonts w:ascii="宋体" w:hAnsi="宋体" w:cs="宋体"/>
                <w:b/>
              </w:rPr>
              <w:t>份额：销售费年化</w:t>
            </w:r>
            <w:r>
              <w:rPr>
                <w:rFonts w:ascii="宋体" w:hAnsi="宋体" w:cs="宋体"/>
                <w:b/>
              </w:rPr>
              <w:t>0.</w:t>
            </w:r>
            <w:r>
              <w:rPr>
                <w:rFonts w:ascii="宋体" w:hAnsi="宋体" w:cs="宋体" w:hint="eastAsia"/>
                <w:b/>
              </w:rPr>
              <w:t>05</w:t>
            </w:r>
            <w:r>
              <w:rPr>
                <w:rFonts w:ascii="宋体" w:hAnsi="宋体" w:cs="宋体"/>
                <w:b/>
              </w:rPr>
              <w:t>%</w:t>
            </w:r>
            <w:r>
              <w:rPr>
                <w:rFonts w:ascii="宋体" w:hAnsi="宋体" w:cs="宋体"/>
                <w:b/>
              </w:rPr>
              <w:t>。</w:t>
            </w:r>
          </w:p>
          <w:p w:rsidR="005A54B0" w:rsidRDefault="007A6ABA">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年化销售费率</w:t>
            </w:r>
            <w:r>
              <w:rPr>
                <w:rFonts w:ascii="宋体" w:hAnsi="宋体" w:cs="宋体"/>
                <w:b/>
              </w:rPr>
              <w:t>÷365</w:t>
            </w:r>
          </w:p>
          <w:p w:rsidR="005A54B0" w:rsidRDefault="007A6ABA">
            <w:pPr>
              <w:spacing w:line="200" w:lineRule="exact"/>
            </w:pPr>
            <w:r>
              <w:rPr>
                <w:rFonts w:ascii="宋体" w:hAnsi="宋体" w:cs="宋体"/>
                <w:b/>
              </w:rPr>
              <w:t>固定管理费：本理财产品按前一日理财产品资产净值收取固定管理费，按日计提。</w:t>
            </w:r>
          </w:p>
          <w:p w:rsidR="005A54B0" w:rsidRDefault="007A6ABA">
            <w:pPr>
              <w:spacing w:line="200" w:lineRule="exact"/>
            </w:pPr>
            <w:r>
              <w:rPr>
                <w:rFonts w:ascii="宋体" w:hAnsi="宋体" w:cs="宋体"/>
                <w:b/>
              </w:rPr>
              <w:t>A</w:t>
            </w:r>
            <w:r>
              <w:rPr>
                <w:rFonts w:ascii="宋体" w:hAnsi="宋体" w:cs="宋体"/>
                <w:b/>
              </w:rPr>
              <w:t>份额：固定管理费年化</w:t>
            </w:r>
            <w:r>
              <w:rPr>
                <w:rFonts w:ascii="宋体" w:hAnsi="宋体" w:cs="宋体"/>
                <w:b/>
              </w:rPr>
              <w:t>0.3%</w:t>
            </w:r>
            <w:r>
              <w:rPr>
                <w:rFonts w:ascii="宋体" w:hAnsi="宋体" w:cs="宋体"/>
                <w:b/>
              </w:rPr>
              <w:t>。</w:t>
            </w:r>
          </w:p>
          <w:p w:rsidR="005A54B0" w:rsidRDefault="007A6ABA">
            <w:pPr>
              <w:spacing w:line="200" w:lineRule="exact"/>
            </w:pPr>
            <w:r>
              <w:rPr>
                <w:rFonts w:ascii="宋体" w:hAnsi="宋体" w:cs="宋体"/>
                <w:b/>
              </w:rPr>
              <w:t>B</w:t>
            </w:r>
            <w:r>
              <w:rPr>
                <w:rFonts w:ascii="宋体" w:hAnsi="宋体" w:cs="宋体"/>
                <w:b/>
              </w:rPr>
              <w:t>份额：固定管理费年化</w:t>
            </w:r>
            <w:r>
              <w:rPr>
                <w:rFonts w:ascii="宋体" w:hAnsi="宋体" w:cs="宋体"/>
                <w:b/>
              </w:rPr>
              <w:t>0.</w:t>
            </w:r>
            <w:r>
              <w:rPr>
                <w:rFonts w:ascii="宋体" w:hAnsi="宋体" w:cs="宋体" w:hint="eastAsia"/>
                <w:b/>
              </w:rPr>
              <w:t>25</w:t>
            </w:r>
            <w:r>
              <w:rPr>
                <w:rFonts w:ascii="宋体" w:hAnsi="宋体" w:cs="宋体"/>
                <w:b/>
              </w:rPr>
              <w:t>%</w:t>
            </w:r>
            <w:r>
              <w:rPr>
                <w:rFonts w:ascii="宋体" w:hAnsi="宋体" w:cs="宋体"/>
                <w:b/>
              </w:rPr>
              <w:t>。</w:t>
            </w:r>
          </w:p>
          <w:p w:rsidR="005A54B0" w:rsidRDefault="007A6ABA">
            <w:pPr>
              <w:spacing w:line="200" w:lineRule="exact"/>
              <w:rPr>
                <w:rFonts w:ascii="宋体" w:hAnsi="宋体" w:cs="宋体"/>
                <w:b/>
              </w:rPr>
            </w:pPr>
            <w:r>
              <w:rPr>
                <w:rFonts w:ascii="宋体" w:hAnsi="宋体" w:cs="宋体"/>
                <w:b/>
              </w:rPr>
              <w:t>C</w:t>
            </w:r>
            <w:r>
              <w:rPr>
                <w:rFonts w:ascii="宋体" w:hAnsi="宋体" w:cs="宋体"/>
                <w:b/>
              </w:rPr>
              <w:t>份额：固定管理费年化</w:t>
            </w:r>
            <w:r>
              <w:rPr>
                <w:rFonts w:ascii="宋体" w:hAnsi="宋体" w:cs="宋体"/>
                <w:b/>
              </w:rPr>
              <w:t>0.2</w:t>
            </w:r>
            <w:r>
              <w:rPr>
                <w:rFonts w:ascii="宋体" w:hAnsi="宋体" w:cs="宋体" w:hint="eastAsia"/>
                <w:b/>
              </w:rPr>
              <w:t>5</w:t>
            </w:r>
            <w:r>
              <w:rPr>
                <w:rFonts w:ascii="宋体" w:hAnsi="宋体" w:cs="宋体"/>
                <w:b/>
              </w:rPr>
              <w:t>%</w:t>
            </w:r>
            <w:r>
              <w:rPr>
                <w:rFonts w:ascii="宋体" w:hAnsi="宋体" w:cs="宋体"/>
                <w:b/>
              </w:rPr>
              <w:t>。</w:t>
            </w:r>
          </w:p>
          <w:p w:rsidR="005A54B0" w:rsidRDefault="007A6ABA">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年化固定管理费率</w:t>
            </w:r>
            <w:r>
              <w:rPr>
                <w:rFonts w:ascii="宋体" w:hAnsi="宋体" w:cs="宋体"/>
                <w:b/>
              </w:rPr>
              <w:t>÷365</w:t>
            </w:r>
          </w:p>
          <w:p w:rsidR="005A54B0" w:rsidRDefault="007A6ABA">
            <w:pPr>
              <w:spacing w:line="200" w:lineRule="exact"/>
            </w:pPr>
            <w:r>
              <w:rPr>
                <w:rFonts w:ascii="宋体" w:hAnsi="宋体" w:cs="宋体"/>
                <w:b/>
              </w:rPr>
              <w:t>托管费：本理财产品按前一日理财产品资产净值收取年化</w:t>
            </w:r>
            <w:r>
              <w:rPr>
                <w:rFonts w:ascii="宋体" w:hAnsi="宋体" w:cs="宋体"/>
                <w:b/>
              </w:rPr>
              <w:t>0.02%</w:t>
            </w:r>
            <w:r>
              <w:rPr>
                <w:rFonts w:ascii="宋体" w:hAnsi="宋体" w:cs="宋体"/>
                <w:b/>
              </w:rPr>
              <w:t>的托管费，按日计提。</w:t>
            </w:r>
          </w:p>
          <w:p w:rsidR="005A54B0" w:rsidRDefault="007A6ABA">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年化托管费率</w:t>
            </w:r>
            <w:r>
              <w:rPr>
                <w:rFonts w:ascii="宋体" w:hAnsi="宋体" w:cs="宋体"/>
                <w:b/>
              </w:rPr>
              <w:t>÷365</w:t>
            </w:r>
          </w:p>
          <w:p w:rsidR="005A54B0" w:rsidRDefault="007A6ABA">
            <w:pPr>
              <w:spacing w:line="200" w:lineRule="exact"/>
            </w:pPr>
            <w:r>
              <w:rPr>
                <w:rFonts w:ascii="宋体" w:hAnsi="宋体" w:cs="宋体"/>
                <w:b/>
              </w:rPr>
              <w:t>业绩报酬：</w:t>
            </w:r>
          </w:p>
          <w:p w:rsidR="005A54B0" w:rsidRDefault="007A6ABA">
            <w:pPr>
              <w:spacing w:line="200" w:lineRule="exact"/>
              <w:rPr>
                <w:rFonts w:ascii="宋体" w:hAnsi="宋体" w:cs="宋体"/>
                <w:b/>
              </w:rPr>
            </w:pPr>
            <w:r>
              <w:rPr>
                <w:rFonts w:ascii="宋体" w:hAnsi="宋体" w:cs="宋体"/>
                <w:b/>
              </w:rPr>
              <w:t>A</w:t>
            </w:r>
            <w:r>
              <w:rPr>
                <w:rFonts w:ascii="宋体" w:hAnsi="宋体" w:cs="宋体"/>
                <w:b/>
              </w:rPr>
              <w:t>份额：到期兑付时，当期产品投资的实际资产组合收益（扣除销售费、固定管理费、托管费等相关费用）在</w:t>
            </w:r>
            <w:r>
              <w:rPr>
                <w:rFonts w:ascii="宋体" w:hAnsi="宋体" w:cs="宋体" w:hint="eastAsia"/>
                <w:b/>
              </w:rPr>
              <w:t>3.2</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3.8</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3.2%</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3.8</w:t>
            </w:r>
            <w:r>
              <w:rPr>
                <w:rFonts w:ascii="宋体" w:hAnsi="宋体" w:cs="宋体"/>
                <w:b/>
              </w:rPr>
              <w:t>%</w:t>
            </w:r>
            <w:r>
              <w:rPr>
                <w:rFonts w:ascii="宋体" w:hAnsi="宋体" w:cs="宋体"/>
                <w:b/>
              </w:rPr>
              <w:t>（含）（年化，即产品该份额对应的业绩报酬</w:t>
            </w:r>
            <w:r>
              <w:rPr>
                <w:rFonts w:ascii="宋体" w:hAnsi="宋体" w:cs="宋体"/>
                <w:b/>
              </w:rPr>
              <w:t>计提基准）以上的部分，管理人将按</w:t>
            </w:r>
            <w:r>
              <w:rPr>
                <w:rFonts w:ascii="宋体" w:hAnsi="宋体" w:cs="宋体" w:hint="eastAsia"/>
                <w:b/>
              </w:rPr>
              <w:t>超过</w:t>
            </w:r>
            <w:r>
              <w:rPr>
                <w:rFonts w:ascii="宋体" w:hAnsi="宋体" w:cs="宋体" w:hint="eastAsia"/>
                <w:b/>
              </w:rPr>
              <w:t>3.8</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5A54B0" w:rsidRDefault="007A6ABA">
            <w:pPr>
              <w:spacing w:line="200" w:lineRule="exact"/>
              <w:rPr>
                <w:rFonts w:ascii="宋体" w:hAnsi="宋体" w:cs="宋体"/>
                <w:b/>
              </w:rPr>
            </w:pPr>
            <w:r>
              <w:rPr>
                <w:rFonts w:ascii="宋体" w:hAnsi="宋体" w:cs="宋体"/>
                <w:b/>
              </w:rPr>
              <w:t>B</w:t>
            </w:r>
            <w:r>
              <w:rPr>
                <w:rFonts w:ascii="宋体" w:hAnsi="宋体" w:cs="宋体"/>
                <w:b/>
              </w:rPr>
              <w:t>份额：到期兑付时，当期产品投资的实际资产组合收益（扣除销售费、固定管理费、托管费等相关费用）在</w:t>
            </w:r>
            <w:r>
              <w:rPr>
                <w:rFonts w:ascii="宋体" w:hAnsi="宋体" w:cs="宋体" w:hint="eastAsia"/>
                <w:b/>
              </w:rPr>
              <w:t>3.3</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3.9</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3.3%</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3.9</w:t>
            </w:r>
            <w:r>
              <w:rPr>
                <w:rFonts w:ascii="宋体" w:hAnsi="宋体" w:cs="宋体"/>
                <w:b/>
              </w:rPr>
              <w:t>%</w:t>
            </w:r>
            <w:r>
              <w:rPr>
                <w:rFonts w:ascii="宋体" w:hAnsi="宋体" w:cs="宋体"/>
                <w:b/>
              </w:rPr>
              <w:t>（含）（年化，即产品该份额对应的业绩报酬计提基准）以上的部分，管理人将按</w:t>
            </w:r>
            <w:r>
              <w:rPr>
                <w:rFonts w:ascii="宋体" w:hAnsi="宋体" w:cs="宋体" w:hint="eastAsia"/>
                <w:b/>
              </w:rPr>
              <w:t>超过</w:t>
            </w:r>
            <w:r>
              <w:rPr>
                <w:rFonts w:ascii="宋体" w:hAnsi="宋体" w:cs="宋体" w:hint="eastAsia"/>
                <w:b/>
              </w:rPr>
              <w:t>3.9</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5A54B0" w:rsidRDefault="007A6ABA">
            <w:pPr>
              <w:spacing w:line="200" w:lineRule="exact"/>
            </w:pPr>
            <w:r>
              <w:rPr>
                <w:rFonts w:ascii="宋体" w:hAnsi="宋体" w:cs="宋体"/>
                <w:b/>
              </w:rPr>
              <w:t>C</w:t>
            </w:r>
            <w:r>
              <w:rPr>
                <w:rFonts w:ascii="宋体" w:hAnsi="宋体" w:cs="宋体"/>
                <w:b/>
              </w:rPr>
              <w:t>份额：到期兑付时，当期产品投资的实际资产组合收益（扣除销售费、固定管理费、托管费等相</w:t>
            </w:r>
            <w:r>
              <w:rPr>
                <w:rFonts w:ascii="宋体" w:hAnsi="宋体" w:cs="宋体"/>
                <w:b/>
              </w:rPr>
              <w:t>关费用）在</w:t>
            </w:r>
            <w:r>
              <w:rPr>
                <w:rFonts w:ascii="宋体" w:hAnsi="宋体" w:cs="宋体" w:hint="eastAsia"/>
                <w:b/>
              </w:rPr>
              <w:t>3.4</w:t>
            </w:r>
            <w:r>
              <w:rPr>
                <w:rFonts w:ascii="宋体" w:hAnsi="宋体" w:cs="宋体"/>
                <w:b/>
              </w:rPr>
              <w:t>%</w:t>
            </w:r>
            <w:r>
              <w:rPr>
                <w:rFonts w:ascii="宋体" w:hAnsi="宋体" w:cs="宋体" w:hint="eastAsia"/>
                <w:b/>
              </w:rPr>
              <w:t>（含）</w:t>
            </w:r>
            <w:r>
              <w:rPr>
                <w:rFonts w:ascii="宋体" w:hAnsi="宋体" w:cs="宋体"/>
                <w:b/>
              </w:rPr>
              <w:t>（年化，即产品该份额对应的业绩报酬计提基准）至</w:t>
            </w:r>
            <w:r>
              <w:rPr>
                <w:rFonts w:ascii="宋体" w:hAnsi="宋体" w:cs="宋体" w:hint="eastAsia"/>
                <w:b/>
              </w:rPr>
              <w:t>4.</w:t>
            </w:r>
            <w:r>
              <w:rPr>
                <w:rFonts w:ascii="宋体" w:hAnsi="宋体" w:cs="宋体" w:hint="eastAsia"/>
                <w:b/>
              </w:rPr>
              <w:t>0</w:t>
            </w:r>
            <w:r>
              <w:rPr>
                <w:rFonts w:ascii="宋体" w:hAnsi="宋体" w:cs="宋体"/>
                <w:b/>
              </w:rPr>
              <w:t>%</w:t>
            </w:r>
            <w:r>
              <w:rPr>
                <w:rFonts w:ascii="宋体" w:hAnsi="宋体" w:cs="宋体"/>
                <w:b/>
              </w:rPr>
              <w:t>（</w:t>
            </w:r>
            <w:r>
              <w:rPr>
                <w:rFonts w:ascii="宋体" w:hAnsi="宋体" w:cs="宋体" w:hint="eastAsia"/>
                <w:b/>
              </w:rPr>
              <w:t>不</w:t>
            </w:r>
            <w:r>
              <w:rPr>
                <w:rFonts w:ascii="宋体" w:hAnsi="宋体" w:cs="宋体"/>
                <w:b/>
              </w:rPr>
              <w:t>含）之间的部分，管理人将按</w:t>
            </w:r>
            <w:r>
              <w:rPr>
                <w:rFonts w:ascii="宋体" w:hAnsi="宋体" w:cs="宋体" w:hint="eastAsia"/>
                <w:b/>
              </w:rPr>
              <w:t>超过</w:t>
            </w:r>
            <w:r>
              <w:rPr>
                <w:rFonts w:ascii="宋体" w:hAnsi="宋体" w:cs="宋体" w:hint="eastAsia"/>
                <w:b/>
              </w:rPr>
              <w:t>3.4%</w:t>
            </w:r>
            <w:r>
              <w:rPr>
                <w:rFonts w:ascii="宋体" w:hAnsi="宋体" w:cs="宋体" w:hint="eastAsia"/>
                <w:b/>
              </w:rPr>
              <w:t>部分的</w:t>
            </w:r>
            <w:r>
              <w:rPr>
                <w:rFonts w:ascii="宋体" w:hAnsi="宋体" w:cs="宋体"/>
                <w:b/>
              </w:rPr>
              <w:t>20%</w:t>
            </w:r>
            <w:r>
              <w:rPr>
                <w:rFonts w:ascii="宋体" w:hAnsi="宋体" w:cs="宋体"/>
                <w:b/>
              </w:rPr>
              <w:t>收取业绩报酬；在</w:t>
            </w:r>
            <w:r>
              <w:rPr>
                <w:rFonts w:ascii="宋体" w:hAnsi="宋体" w:cs="宋体" w:hint="eastAsia"/>
                <w:b/>
              </w:rPr>
              <w:t>4.</w:t>
            </w:r>
            <w:r>
              <w:rPr>
                <w:rFonts w:ascii="宋体" w:hAnsi="宋体" w:cs="宋体" w:hint="eastAsia"/>
                <w:b/>
              </w:rPr>
              <w:t>0</w:t>
            </w:r>
            <w:r>
              <w:rPr>
                <w:rFonts w:ascii="宋体" w:hAnsi="宋体" w:cs="宋体"/>
                <w:b/>
              </w:rPr>
              <w:t>%</w:t>
            </w:r>
            <w:r>
              <w:rPr>
                <w:rFonts w:ascii="宋体" w:hAnsi="宋体" w:cs="宋体"/>
                <w:b/>
              </w:rPr>
              <w:t>（含）（年化，即产品该份额对应的业绩报酬计提基准）以上的部分，管理人将按</w:t>
            </w:r>
            <w:r>
              <w:rPr>
                <w:rFonts w:ascii="宋体" w:hAnsi="宋体" w:cs="宋体" w:hint="eastAsia"/>
                <w:b/>
              </w:rPr>
              <w:t>超过</w:t>
            </w:r>
            <w:r>
              <w:rPr>
                <w:rFonts w:ascii="宋体" w:hAnsi="宋体" w:cs="宋体" w:hint="eastAsia"/>
                <w:b/>
              </w:rPr>
              <w:t>4.</w:t>
            </w:r>
            <w:r>
              <w:rPr>
                <w:rFonts w:ascii="宋体" w:hAnsi="宋体" w:cs="宋体" w:hint="eastAsia"/>
                <w:b/>
              </w:rPr>
              <w:t>0</w:t>
            </w:r>
            <w:r>
              <w:rPr>
                <w:rFonts w:ascii="宋体" w:hAnsi="宋体" w:cs="宋体" w:hint="eastAsia"/>
                <w:b/>
              </w:rPr>
              <w:t>%</w:t>
            </w:r>
            <w:r>
              <w:rPr>
                <w:rFonts w:ascii="宋体" w:hAnsi="宋体" w:cs="宋体" w:hint="eastAsia"/>
                <w:b/>
              </w:rPr>
              <w:t>部分的</w:t>
            </w:r>
            <w:r>
              <w:rPr>
                <w:rFonts w:ascii="宋体" w:hAnsi="宋体" w:cs="宋体"/>
                <w:b/>
              </w:rPr>
              <w:t>50%</w:t>
            </w:r>
            <w:r>
              <w:rPr>
                <w:rFonts w:ascii="宋体" w:hAnsi="宋体" w:cs="宋体"/>
                <w:b/>
              </w:rPr>
              <w:t>收取业绩报酬。</w:t>
            </w:r>
          </w:p>
          <w:p w:rsidR="005A54B0" w:rsidRDefault="007A6ABA">
            <w:pPr>
              <w:spacing w:line="200" w:lineRule="exact"/>
            </w:pPr>
            <w:r>
              <w:rPr>
                <w:rFonts w:ascii="宋体" w:hAnsi="宋体" w:cs="宋体"/>
                <w:b/>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5A54B0" w:rsidRDefault="007A6ABA">
            <w:pPr>
              <w:spacing w:line="200" w:lineRule="exact"/>
            </w:pPr>
            <w:r>
              <w:rPr>
                <w:rFonts w:ascii="宋体" w:hAnsi="宋体" w:cs="宋体"/>
                <w:b/>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w:t>
            </w:r>
            <w:r>
              <w:rPr>
                <w:rFonts w:ascii="宋体" w:hAnsi="宋体" w:cs="宋体"/>
                <w:b/>
              </w:rPr>
              <w:t>将通过本理财产品的定期报告等进行信息披露。</w:t>
            </w:r>
          </w:p>
          <w:p w:rsidR="005A54B0" w:rsidRDefault="007A6ABA">
            <w:pPr>
              <w:spacing w:line="200" w:lineRule="exact"/>
            </w:pPr>
            <w:r>
              <w:rPr>
                <w:rFonts w:ascii="宋体" w:hAnsi="宋体" w:cs="宋体"/>
                <w:b/>
              </w:rPr>
              <w:t>注：</w:t>
            </w:r>
            <w:r>
              <w:rPr>
                <w:rFonts w:ascii="宋体" w:hAnsi="宋体" w:cs="宋体"/>
                <w:b/>
              </w:rPr>
              <w:t>1.</w:t>
            </w:r>
            <w:r>
              <w:rPr>
                <w:rFonts w:ascii="宋体" w:hAnsi="宋体" w:cs="宋体"/>
                <w:b/>
              </w:rPr>
              <w:t>根据财政部《资产管理产品相关会计处理规定》（财会〔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的相关规定，本理财产品将每日计提暂估的业绩报酬（如有）。</w:t>
            </w:r>
          </w:p>
          <w:p w:rsidR="005A54B0" w:rsidRDefault="007A6ABA">
            <w:pPr>
              <w:spacing w:line="200" w:lineRule="exact"/>
            </w:pPr>
            <w:r>
              <w:rPr>
                <w:rFonts w:ascii="宋体" w:hAnsi="宋体" w:cs="宋体"/>
                <w:b/>
              </w:rPr>
              <w:t>2.</w:t>
            </w:r>
            <w:r>
              <w:rPr>
                <w:rFonts w:ascii="宋体" w:hAnsi="宋体" w:cs="宋体"/>
                <w:b/>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5A54B0" w:rsidRDefault="007A6ABA">
            <w:pPr>
              <w:spacing w:line="200" w:lineRule="exact"/>
            </w:pPr>
            <w:r>
              <w:rPr>
                <w:rFonts w:ascii="宋体" w:hAnsi="宋体" w:cs="宋体"/>
                <w:b/>
              </w:rPr>
              <w:t>计算本区间业绩报酬的公式如下：</w:t>
            </w:r>
          </w:p>
          <w:p w:rsidR="005A54B0" w:rsidRDefault="007A6ABA">
            <w:pPr>
              <w:spacing w:line="200" w:lineRule="exact"/>
            </w:pPr>
            <w:r>
              <w:rPr>
                <w:rFonts w:ascii="宋体" w:hAnsi="宋体" w:cs="宋体"/>
                <w:b/>
              </w:rPr>
              <w:t>A={B-C*D*(1+E*F/365)}*G</w:t>
            </w:r>
            <w:r>
              <w:rPr>
                <w:rFonts w:ascii="宋体" w:hAnsi="宋体" w:cs="宋体"/>
                <w:b/>
              </w:rPr>
              <w:t>。</w:t>
            </w:r>
          </w:p>
          <w:p w:rsidR="005A54B0" w:rsidRDefault="007A6ABA">
            <w:pPr>
              <w:spacing w:line="200" w:lineRule="exact"/>
            </w:pPr>
            <w:r>
              <w:rPr>
                <w:rFonts w:ascii="宋体" w:hAnsi="宋体" w:cs="宋体"/>
                <w:b/>
              </w:rPr>
              <w:t>其中：</w:t>
            </w:r>
            <w:r>
              <w:rPr>
                <w:rFonts w:ascii="宋体" w:hAnsi="宋体" w:cs="宋体"/>
                <w:b/>
              </w:rPr>
              <w:t>A</w:t>
            </w:r>
            <w:r>
              <w:rPr>
                <w:rFonts w:ascii="宋体" w:hAnsi="宋体" w:cs="宋体"/>
                <w:b/>
              </w:rPr>
              <w:t>是产品该份</w:t>
            </w:r>
            <w:r>
              <w:rPr>
                <w:rFonts w:ascii="宋体" w:hAnsi="宋体" w:cs="宋体"/>
                <w:b/>
              </w:rPr>
              <w:t>额从当期起始日到估值日应计提的业绩报酬金额，</w:t>
            </w:r>
            <w:r>
              <w:rPr>
                <w:rFonts w:ascii="宋体" w:hAnsi="宋体" w:cs="宋体"/>
                <w:b/>
              </w:rPr>
              <w:t>B</w:t>
            </w:r>
            <w:r>
              <w:rPr>
                <w:rFonts w:ascii="宋体" w:hAnsi="宋体" w:cs="宋体"/>
                <w:b/>
              </w:rPr>
              <w:t>是产品该份额估值日当日未扣除业绩报酬前的资产净值，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是产品该份额当期起始日前一自然日的单位净值，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是产品该份额当期起始日（含）到估值日（含）的天数，</w:t>
            </w:r>
            <w:r>
              <w:rPr>
                <w:rFonts w:ascii="宋体" w:hAnsi="宋体" w:cs="宋体"/>
                <w:b/>
              </w:rPr>
              <w:t>G</w:t>
            </w:r>
            <w:r>
              <w:rPr>
                <w:rFonts w:ascii="宋体" w:hAnsi="宋体" w:cs="宋体"/>
                <w:b/>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5A54B0">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具体详见本理财产品风险揭示书。</w:t>
            </w:r>
          </w:p>
        </w:tc>
      </w:tr>
      <w:tr w:rsidR="005A54B0">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5A54B0" w:rsidRDefault="007A6ABA">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5A54B0" w:rsidRDefault="007A6ABA">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5A54B0" w:rsidRDefault="007A6ABA">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w:t>
            </w:r>
            <w:r>
              <w:rPr>
                <w:rFonts w:ascii="宋体" w:hAnsi="宋体" w:cs="宋体"/>
                <w:color w:val="000000"/>
              </w:rPr>
              <w:t>披露理财产品相关信息；</w:t>
            </w:r>
          </w:p>
          <w:p w:rsidR="005A54B0" w:rsidRDefault="007A6ABA">
            <w:pPr>
              <w:spacing w:line="200" w:lineRule="exact"/>
              <w:jc w:val="left"/>
            </w:pPr>
            <w:r>
              <w:rPr>
                <w:rFonts w:ascii="宋体" w:hAnsi="宋体" w:cs="宋体"/>
                <w:color w:val="000000"/>
              </w:rPr>
              <w:t>4.</w:t>
            </w:r>
            <w:r>
              <w:rPr>
                <w:rFonts w:ascii="宋体" w:hAnsi="宋体" w:cs="宋体"/>
                <w:color w:val="000000"/>
              </w:rPr>
              <w:t>按照理财产品销售文件约定的投资范围和权限，负责理财产品资金的运用和管理，向投资者进行收益分配；</w:t>
            </w:r>
          </w:p>
          <w:p w:rsidR="005A54B0" w:rsidRDefault="007A6ABA">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5A54B0" w:rsidRDefault="007A6ABA">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5A54B0" w:rsidRDefault="007A6ABA">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5A54B0">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rPr>
              <w:t>本理财产品销售机构为南银理财有限责任公司、</w:t>
            </w:r>
            <w:r>
              <w:rPr>
                <w:rFonts w:ascii="宋体" w:hAnsi="宋体" w:cs="宋体" w:hint="eastAsia"/>
              </w:rPr>
              <w:t>南京银行股份有限公司、兴业银行股份有限公司、江苏太仓农村商业银行股份有限公司、青岛银行股份有限公司、杭州银行股份有限公司、温州银行股份有限公司、汉口银行股份有限公司、烟台银行股份有限公司、嘉兴银行股份有限公司、广州银行股份有限公司、江苏常熟农村商业银行股份有限公司、江苏苏州农村商业银行股份有限公司、蒙商银行股份有限公司、长沙银行股份有限公司、厦门银行股份有限公司、苏州银行股份有限公司、日照银行股份有限公司、秦皇岛银行股份有限公司、泰安银行股份有限公司、宁波东海银行股份有限公司、齐鲁银行股份有限公司、天津农村</w:t>
            </w:r>
            <w:r>
              <w:rPr>
                <w:rFonts w:ascii="宋体" w:hAnsi="宋体" w:cs="宋体" w:hint="eastAsia"/>
              </w:rPr>
              <w:t>商业银行股份有限公司、云南红塔银行股份有限公司、中原银行股份有限公司、宁夏银行股份有限公司、九江银行股份有限公司、海南银行股份有限公司、廊坊银行股份有限公司、桂林银行股份有限公司、中邮邮惠万家银行有限责任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民丰农村商业银行股份有限公司、江苏盐城农村商</w:t>
            </w:r>
            <w:r>
              <w:rPr>
                <w:rFonts w:ascii="宋体" w:hAnsi="宋体" w:cs="宋体" w:hint="eastAsia"/>
              </w:rPr>
              <w:t>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江苏紫金农村商业银行</w:t>
            </w:r>
            <w:r>
              <w:rPr>
                <w:rFonts w:ascii="宋体" w:hAnsi="宋体" w:cs="宋体" w:hint="eastAsia"/>
              </w:rPr>
              <w:t>股份有限公司、江苏金湖农村商业银行股份有限公司、江苏泗洪农村商业银行股份有限公司、江苏丰县农村商业银行股份有限公司、江苏射阳农村商业银行股份有限公司、江苏泗阳农村商业银行股份有限公司、江苏句容农村商业银行股份有限公司、枣庄银行股份有限公司</w:t>
            </w:r>
            <w:r>
              <w:rPr>
                <w:rFonts w:ascii="宋体" w:hAnsi="宋体" w:cs="宋体"/>
              </w:rPr>
              <w:t>。</w:t>
            </w:r>
          </w:p>
          <w:p w:rsidR="005A54B0" w:rsidRDefault="007A6ABA">
            <w:pPr>
              <w:spacing w:line="200" w:lineRule="exact"/>
              <w:jc w:val="left"/>
            </w:pPr>
            <w:r>
              <w:rPr>
                <w:rFonts w:ascii="宋体" w:hAnsi="宋体" w:cs="宋体"/>
                <w:b/>
              </w:rPr>
              <w:t>管理人有权调整本理财产品的销售机构并进行信息披露。</w:t>
            </w:r>
          </w:p>
          <w:p w:rsidR="005A54B0" w:rsidRDefault="007A6ABA">
            <w:pPr>
              <w:spacing w:line="200" w:lineRule="exact"/>
              <w:jc w:val="left"/>
            </w:pPr>
            <w:r>
              <w:rPr>
                <w:rFonts w:ascii="宋体" w:hAnsi="宋体" w:cs="宋体"/>
              </w:rPr>
              <w:t>销售机构主要职责如下：</w:t>
            </w:r>
          </w:p>
          <w:p w:rsidR="005A54B0" w:rsidRDefault="007A6ABA">
            <w:pPr>
              <w:spacing w:line="200" w:lineRule="exact"/>
              <w:jc w:val="left"/>
            </w:pPr>
            <w:r>
              <w:rPr>
                <w:rFonts w:ascii="宋体" w:hAnsi="宋体" w:cs="宋体"/>
              </w:rPr>
              <w:t>1.</w:t>
            </w:r>
            <w:r>
              <w:rPr>
                <w:rFonts w:ascii="宋体" w:hAnsi="宋体" w:cs="宋体"/>
              </w:rPr>
              <w:t>按照法律法规、监管规定及理财产品销售文件的约定，开展理财产品销售活动，向投资者充分披露信息和揭示风险；</w:t>
            </w:r>
          </w:p>
          <w:p w:rsidR="005A54B0" w:rsidRDefault="007A6ABA">
            <w:pPr>
              <w:spacing w:line="200" w:lineRule="exact"/>
              <w:jc w:val="left"/>
            </w:pPr>
            <w:r>
              <w:rPr>
                <w:rFonts w:ascii="宋体" w:hAnsi="宋体" w:cs="宋体"/>
              </w:rPr>
              <w:t>2.</w:t>
            </w:r>
            <w:r>
              <w:rPr>
                <w:rFonts w:ascii="宋体" w:hAnsi="宋体" w:cs="宋体"/>
              </w:rPr>
              <w:t>对非机构投资者的风险承受能力进行评估，确保投资者风险承受能力评估的客观性、及时性和</w:t>
            </w:r>
            <w:r>
              <w:rPr>
                <w:rFonts w:ascii="宋体" w:hAnsi="宋体" w:cs="宋体"/>
              </w:rPr>
              <w:t>有效性；</w:t>
            </w:r>
          </w:p>
          <w:p w:rsidR="005A54B0" w:rsidRDefault="007A6ABA">
            <w:pPr>
              <w:spacing w:line="200" w:lineRule="exact"/>
              <w:jc w:val="left"/>
            </w:pPr>
            <w:r>
              <w:rPr>
                <w:rFonts w:ascii="宋体" w:hAnsi="宋体" w:cs="宋体"/>
              </w:rPr>
              <w:t>3.</w:t>
            </w:r>
            <w:r>
              <w:rPr>
                <w:rFonts w:ascii="宋体" w:hAnsi="宋体" w:cs="宋体"/>
              </w:rPr>
              <w:t>妥善保管投资者理财产品销售材料，保管年限不低于</w:t>
            </w:r>
            <w:r>
              <w:rPr>
                <w:rFonts w:ascii="宋体" w:hAnsi="宋体" w:cs="宋体"/>
              </w:rPr>
              <w:t>20</w:t>
            </w:r>
            <w:r>
              <w:rPr>
                <w:rFonts w:ascii="宋体" w:hAnsi="宋体" w:cs="宋体"/>
              </w:rPr>
              <w:t>年；</w:t>
            </w:r>
          </w:p>
          <w:p w:rsidR="005A54B0" w:rsidRDefault="007A6ABA">
            <w:pPr>
              <w:spacing w:line="200" w:lineRule="exact"/>
              <w:jc w:val="left"/>
            </w:pPr>
            <w:r>
              <w:rPr>
                <w:rFonts w:ascii="宋体" w:hAnsi="宋体" w:cs="宋体"/>
              </w:rPr>
              <w:t>4.</w:t>
            </w:r>
            <w:r>
              <w:rPr>
                <w:rFonts w:ascii="宋体" w:hAnsi="宋体" w:cs="宋体"/>
              </w:rPr>
              <w:t>根据反洗钱、反恐怖融资及非居民金融账户涉税信息尽职调查等相关法律法规要求识别客户身份；</w:t>
            </w:r>
          </w:p>
          <w:p w:rsidR="005A54B0" w:rsidRDefault="007A6ABA">
            <w:pPr>
              <w:spacing w:line="200" w:lineRule="exact"/>
              <w:jc w:val="left"/>
            </w:pPr>
            <w:r>
              <w:rPr>
                <w:rFonts w:ascii="宋体" w:hAnsi="宋体" w:cs="宋体"/>
              </w:rPr>
              <w:t>5.</w:t>
            </w:r>
            <w:r>
              <w:rPr>
                <w:rFonts w:ascii="宋体" w:hAnsi="宋体" w:cs="宋体"/>
              </w:rPr>
              <w:t>建立健全投资者权益保护管理体系，加强投资者适当性管理；</w:t>
            </w:r>
          </w:p>
          <w:p w:rsidR="005A54B0" w:rsidRDefault="007A6ABA">
            <w:pPr>
              <w:spacing w:line="200" w:lineRule="exact"/>
              <w:jc w:val="left"/>
            </w:pPr>
            <w:r>
              <w:rPr>
                <w:rFonts w:ascii="宋体" w:hAnsi="宋体" w:cs="宋体"/>
              </w:rPr>
              <w:t>6.</w:t>
            </w:r>
            <w:r>
              <w:rPr>
                <w:rFonts w:ascii="宋体" w:hAnsi="宋体" w:cs="宋体"/>
              </w:rPr>
              <w:t>国务院银行业监督管理机构规定及本理财产品管理人与销售机构约定的其他职责。</w:t>
            </w:r>
          </w:p>
        </w:tc>
      </w:tr>
      <w:tr w:rsidR="005A54B0">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本理财产品托管人为南京银行股份有限公司，主要职责如下：</w:t>
            </w:r>
          </w:p>
          <w:p w:rsidR="005A54B0" w:rsidRDefault="007A6ABA">
            <w:pPr>
              <w:spacing w:line="200" w:lineRule="exact"/>
            </w:pPr>
            <w:r>
              <w:rPr>
                <w:rFonts w:ascii="宋体" w:hAnsi="宋体" w:cs="宋体"/>
              </w:rPr>
              <w:t>1.</w:t>
            </w:r>
            <w:r>
              <w:rPr>
                <w:rFonts w:ascii="宋体" w:hAnsi="宋体" w:cs="宋体"/>
              </w:rPr>
              <w:t>安全保管理财产品财产；</w:t>
            </w:r>
          </w:p>
          <w:p w:rsidR="005A54B0" w:rsidRDefault="007A6ABA">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5A54B0" w:rsidRDefault="007A6ABA">
            <w:pPr>
              <w:spacing w:line="200" w:lineRule="exact"/>
            </w:pPr>
            <w:r>
              <w:rPr>
                <w:rFonts w:ascii="宋体" w:hAnsi="宋体" w:cs="宋体"/>
              </w:rPr>
              <w:t>3.</w:t>
            </w:r>
            <w:r>
              <w:rPr>
                <w:rFonts w:ascii="宋体" w:hAnsi="宋体" w:cs="宋体"/>
              </w:rPr>
              <w:t>按照托管协议约定和管理人的投资指令，及时办理清算、交割事宜；</w:t>
            </w:r>
          </w:p>
          <w:p w:rsidR="005A54B0" w:rsidRDefault="007A6ABA">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5A54B0" w:rsidRDefault="007A6ABA">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p>
          <w:p w:rsidR="005A54B0" w:rsidRDefault="007A6ABA">
            <w:pPr>
              <w:spacing w:line="200" w:lineRule="exact"/>
            </w:pPr>
            <w:r>
              <w:rPr>
                <w:rFonts w:ascii="宋体" w:hAnsi="宋体" w:cs="宋体"/>
              </w:rPr>
              <w:t>6.</w:t>
            </w:r>
            <w:r>
              <w:rPr>
                <w:rFonts w:ascii="宋体" w:hAnsi="宋体" w:cs="宋体"/>
              </w:rPr>
              <w:t>办理与理财产品托管业务活动相关的信息披露事项，包括披露理财产品托管协议、对理</w:t>
            </w:r>
            <w:r>
              <w:rPr>
                <w:rFonts w:ascii="宋体" w:hAnsi="宋体" w:cs="宋体"/>
              </w:rPr>
              <w:t>财产品信息披露文件中的理财产品财务会计报告等出具意见，以及在公募理财产品半年度和年度报告中出具理财托管机构报告等；</w:t>
            </w:r>
          </w:p>
          <w:p w:rsidR="005A54B0" w:rsidRDefault="007A6ABA">
            <w:pPr>
              <w:spacing w:line="200" w:lineRule="exact"/>
            </w:pPr>
            <w:r>
              <w:rPr>
                <w:rFonts w:ascii="宋体" w:hAnsi="宋体" w:cs="宋体"/>
              </w:rPr>
              <w:t>7.</w:t>
            </w:r>
            <w:r>
              <w:rPr>
                <w:rFonts w:ascii="宋体" w:hAnsi="宋体" w:cs="宋体"/>
              </w:rPr>
              <w:t>理财托管业务活动的记录、账册、报表和其他相关资料保存</w:t>
            </w:r>
            <w:r>
              <w:rPr>
                <w:rFonts w:ascii="宋体" w:hAnsi="宋体" w:cs="宋体"/>
              </w:rPr>
              <w:t>20</w:t>
            </w:r>
            <w:r>
              <w:rPr>
                <w:rFonts w:ascii="宋体" w:hAnsi="宋体" w:cs="宋体"/>
              </w:rPr>
              <w:t>年以上；</w:t>
            </w:r>
          </w:p>
          <w:p w:rsidR="005A54B0" w:rsidRDefault="007A6ABA">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对理财产品投资信息和相关资料承担保密责任，除法律、行政法规、规章规定、审计要求或者合同约定外，不得向任何机构或者个人提供相关信息和资料；</w:t>
            </w:r>
          </w:p>
          <w:p w:rsidR="005A54B0" w:rsidRDefault="007A6ABA">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5A54B0">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理财产品合作机构为华夏基金管理有限公司、江苏省国际信托有限责任公司、景顺长城基金管理有限公司、南方基金管理股份有限公司、鹏华基金管理有限公司、万家基金管理有限公司、中国对外经济贸易信托有限公司、中融基金管理有限公司、鑫元基金管理有限公司，上述投资合作机构主要职责对应如下，具体职责以管理人与投资合作机构签署的合同为准。</w:t>
            </w:r>
          </w:p>
          <w:p w:rsidR="005A54B0" w:rsidRDefault="007A6ABA">
            <w:pPr>
              <w:spacing w:line="200" w:lineRule="exact"/>
            </w:pPr>
            <w:r>
              <w:rPr>
                <w:rFonts w:ascii="宋体" w:hAnsi="宋体" w:cs="宋体"/>
              </w:rPr>
              <w:t>合作机构为从事理财产品受托投资的机构，主要承担根据合同约定进行受托资金的投资管理的职责：华夏基金管理有限公司、江苏省国际信托有限责任公司、景顺长城基金管理有限公司、南方基金管理股份有限公司、</w:t>
            </w:r>
            <w:r>
              <w:rPr>
                <w:rFonts w:ascii="宋体" w:hAnsi="宋体" w:cs="宋体"/>
              </w:rPr>
              <w:t>鹏华基金管理有限公司、万家基金管理有限公司、中国对外经济贸易信托有限公司、中融基金管理有限公司、鑫元基金管理有限公司。</w:t>
            </w:r>
          </w:p>
          <w:p w:rsidR="005A54B0" w:rsidRDefault="007A6ABA">
            <w:pPr>
              <w:spacing w:line="200" w:lineRule="exact"/>
            </w:pPr>
            <w:r>
              <w:rPr>
                <w:rFonts w:ascii="宋体" w:hAnsi="宋体" w:cs="宋体"/>
              </w:rPr>
              <w:t>若上述合作机构及其职责发生调整，管理人将在本理财产品的定期报告中进行信息披露。</w:t>
            </w:r>
          </w:p>
          <w:p w:rsidR="005A54B0" w:rsidRDefault="007A6ABA">
            <w:pPr>
              <w:spacing w:line="200" w:lineRule="exact"/>
            </w:pPr>
            <w:r>
              <w:rPr>
                <w:rFonts w:ascii="宋体" w:hAnsi="宋体" w:cs="宋体"/>
              </w:rPr>
              <w:t>上述投资合作机构简介：</w:t>
            </w:r>
          </w:p>
          <w:p w:rsidR="005A54B0" w:rsidRDefault="007A6ABA">
            <w:pPr>
              <w:spacing w:line="200" w:lineRule="exact"/>
            </w:pPr>
            <w:r>
              <w:rPr>
                <w:rFonts w:ascii="宋体" w:hAnsi="宋体" w:cs="宋体"/>
              </w:rPr>
              <w:t>华夏基金管理有限公司成立于</w:t>
            </w:r>
            <w:r>
              <w:rPr>
                <w:rFonts w:ascii="宋体" w:hAnsi="宋体" w:cs="宋体"/>
              </w:rPr>
              <w:t>1998</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2.38</w:t>
            </w:r>
            <w:r>
              <w:rPr>
                <w:rFonts w:ascii="宋体" w:hAnsi="宋体" w:cs="宋体"/>
              </w:rPr>
              <w:t>亿元。</w:t>
            </w:r>
          </w:p>
          <w:p w:rsidR="005A54B0" w:rsidRDefault="007A6ABA">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5A54B0" w:rsidRDefault="007A6ABA">
            <w:pPr>
              <w:spacing w:line="200" w:lineRule="exact"/>
            </w:pPr>
            <w:r>
              <w:rPr>
                <w:rFonts w:ascii="宋体" w:hAnsi="宋体" w:cs="宋体"/>
              </w:rPr>
              <w:t>景顺长城基金管理有限公司成立于</w:t>
            </w:r>
            <w:r>
              <w:rPr>
                <w:rFonts w:ascii="宋体" w:hAnsi="宋体" w:cs="宋体"/>
              </w:rPr>
              <w:t>2003</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日，注册资本金</w:t>
            </w:r>
            <w:r>
              <w:rPr>
                <w:rFonts w:ascii="宋体" w:hAnsi="宋体" w:cs="宋体"/>
              </w:rPr>
              <w:t>1.3</w:t>
            </w:r>
            <w:r>
              <w:rPr>
                <w:rFonts w:ascii="宋体" w:hAnsi="宋体" w:cs="宋体"/>
              </w:rPr>
              <w:t>亿元。</w:t>
            </w:r>
          </w:p>
          <w:p w:rsidR="005A54B0" w:rsidRDefault="007A6ABA">
            <w:pPr>
              <w:spacing w:line="200" w:lineRule="exact"/>
            </w:pPr>
            <w:r>
              <w:rPr>
                <w:rFonts w:ascii="宋体" w:hAnsi="宋体" w:cs="宋体"/>
              </w:rPr>
              <w:t>南方基金管理股份有限公司成立于</w:t>
            </w:r>
            <w:r>
              <w:rPr>
                <w:rFonts w:ascii="宋体" w:hAnsi="宋体" w:cs="宋体"/>
              </w:rPr>
              <w:t>1998</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日，注册资本金</w:t>
            </w:r>
            <w:r>
              <w:rPr>
                <w:rFonts w:ascii="宋体" w:hAnsi="宋体" w:cs="宋体"/>
              </w:rPr>
              <w:t>3.62</w:t>
            </w:r>
            <w:r>
              <w:rPr>
                <w:rFonts w:ascii="宋体" w:hAnsi="宋体" w:cs="宋体"/>
              </w:rPr>
              <w:t>亿元。</w:t>
            </w:r>
          </w:p>
          <w:p w:rsidR="005A54B0" w:rsidRDefault="007A6ABA">
            <w:pPr>
              <w:spacing w:line="200" w:lineRule="exact"/>
            </w:pPr>
            <w:r>
              <w:rPr>
                <w:rFonts w:ascii="宋体" w:hAnsi="宋体" w:cs="宋体"/>
              </w:rPr>
              <w:t>鹏华基金管理有限公司成立于</w:t>
            </w:r>
            <w:r>
              <w:rPr>
                <w:rFonts w:ascii="宋体" w:hAnsi="宋体" w:cs="宋体"/>
              </w:rPr>
              <w:t>1998</w:t>
            </w:r>
            <w:r>
              <w:rPr>
                <w:rFonts w:ascii="宋体" w:hAnsi="宋体" w:cs="宋体"/>
              </w:rPr>
              <w:t>年</w:t>
            </w:r>
            <w:r>
              <w:rPr>
                <w:rFonts w:ascii="宋体" w:hAnsi="宋体" w:cs="宋体"/>
              </w:rPr>
              <w:t>12</w:t>
            </w:r>
            <w:r>
              <w:rPr>
                <w:rFonts w:ascii="宋体" w:hAnsi="宋体" w:cs="宋体"/>
              </w:rPr>
              <w:t>月</w:t>
            </w:r>
            <w:r>
              <w:rPr>
                <w:rFonts w:ascii="宋体" w:hAnsi="宋体" w:cs="宋体"/>
              </w:rPr>
              <w:t>22</w:t>
            </w:r>
            <w:r>
              <w:rPr>
                <w:rFonts w:ascii="宋体" w:hAnsi="宋体" w:cs="宋体"/>
              </w:rPr>
              <w:t>日，注册资本金</w:t>
            </w:r>
            <w:r>
              <w:rPr>
                <w:rFonts w:ascii="宋体" w:hAnsi="宋体" w:cs="宋体"/>
              </w:rPr>
              <w:t>1.5</w:t>
            </w:r>
            <w:r>
              <w:rPr>
                <w:rFonts w:ascii="宋体" w:hAnsi="宋体" w:cs="宋体"/>
              </w:rPr>
              <w:t>亿元。</w:t>
            </w:r>
          </w:p>
          <w:p w:rsidR="005A54B0" w:rsidRDefault="007A6ABA">
            <w:pPr>
              <w:spacing w:line="200" w:lineRule="exact"/>
            </w:pPr>
            <w:r>
              <w:rPr>
                <w:rFonts w:ascii="宋体" w:hAnsi="宋体" w:cs="宋体"/>
              </w:rPr>
              <w:t>万家基金管理有限公司成立于</w:t>
            </w:r>
            <w:r>
              <w:rPr>
                <w:rFonts w:ascii="宋体" w:hAnsi="宋体" w:cs="宋体"/>
              </w:rPr>
              <w:t>2002</w:t>
            </w:r>
            <w:r>
              <w:rPr>
                <w:rFonts w:ascii="宋体" w:hAnsi="宋体" w:cs="宋体"/>
              </w:rPr>
              <w:t>年</w:t>
            </w:r>
            <w:r>
              <w:rPr>
                <w:rFonts w:ascii="宋体" w:hAnsi="宋体" w:cs="宋体"/>
              </w:rPr>
              <w:t>08</w:t>
            </w:r>
            <w:r>
              <w:rPr>
                <w:rFonts w:ascii="宋体" w:hAnsi="宋体" w:cs="宋体"/>
              </w:rPr>
              <w:t>月</w:t>
            </w:r>
            <w:r>
              <w:rPr>
                <w:rFonts w:ascii="宋体" w:hAnsi="宋体" w:cs="宋体"/>
              </w:rPr>
              <w:t>23</w:t>
            </w:r>
            <w:r>
              <w:rPr>
                <w:rFonts w:ascii="宋体" w:hAnsi="宋体" w:cs="宋体"/>
              </w:rPr>
              <w:t>日，注册资本金</w:t>
            </w:r>
            <w:r>
              <w:rPr>
                <w:rFonts w:ascii="宋体" w:hAnsi="宋体" w:cs="宋体"/>
              </w:rPr>
              <w:t>3</w:t>
            </w:r>
            <w:r>
              <w:rPr>
                <w:rFonts w:ascii="宋体" w:hAnsi="宋体" w:cs="宋体"/>
              </w:rPr>
              <w:t>亿元。</w:t>
            </w:r>
          </w:p>
          <w:p w:rsidR="005A54B0" w:rsidRDefault="007A6ABA">
            <w:pPr>
              <w:spacing w:line="200" w:lineRule="exact"/>
            </w:pPr>
            <w:r>
              <w:rPr>
                <w:rFonts w:ascii="宋体" w:hAnsi="宋体" w:cs="宋体"/>
              </w:rPr>
              <w:t>中国对外经济贸易信托有限公司成立于</w:t>
            </w:r>
            <w:r>
              <w:rPr>
                <w:rFonts w:ascii="宋体" w:hAnsi="宋体" w:cs="宋体"/>
              </w:rPr>
              <w:t>1987</w:t>
            </w:r>
            <w:r>
              <w:rPr>
                <w:rFonts w:ascii="宋体" w:hAnsi="宋体" w:cs="宋体"/>
              </w:rPr>
              <w:t>年</w:t>
            </w:r>
            <w:r>
              <w:rPr>
                <w:rFonts w:ascii="宋体" w:hAnsi="宋体" w:cs="宋体"/>
              </w:rPr>
              <w:t>09</w:t>
            </w:r>
            <w:r>
              <w:rPr>
                <w:rFonts w:ascii="宋体" w:hAnsi="宋体" w:cs="宋体"/>
              </w:rPr>
              <w:t>月</w:t>
            </w:r>
            <w:r>
              <w:rPr>
                <w:rFonts w:ascii="宋体" w:hAnsi="宋体" w:cs="宋体"/>
              </w:rPr>
              <w:t>30</w:t>
            </w:r>
            <w:r>
              <w:rPr>
                <w:rFonts w:ascii="宋体" w:hAnsi="宋体" w:cs="宋体"/>
              </w:rPr>
              <w:t>日，注册资本金</w:t>
            </w:r>
            <w:r>
              <w:rPr>
                <w:rFonts w:ascii="宋体" w:hAnsi="宋体" w:cs="宋体"/>
              </w:rPr>
              <w:t>800000</w:t>
            </w:r>
            <w:r>
              <w:rPr>
                <w:rFonts w:ascii="宋体" w:hAnsi="宋体" w:cs="宋体"/>
              </w:rPr>
              <w:t>万元人民币。</w:t>
            </w:r>
          </w:p>
          <w:p w:rsidR="005A54B0" w:rsidRDefault="007A6ABA">
            <w:pPr>
              <w:spacing w:line="200" w:lineRule="exact"/>
            </w:pPr>
            <w:r>
              <w:rPr>
                <w:rFonts w:ascii="宋体" w:hAnsi="宋体" w:cs="宋体"/>
              </w:rPr>
              <w:t>中融基金管理有限公司成立于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5A54B0" w:rsidRDefault="007A6ABA">
            <w:pPr>
              <w:spacing w:line="200" w:lineRule="exact"/>
            </w:pPr>
            <w:r>
              <w:rPr>
                <w:rFonts w:ascii="宋体" w:hAnsi="宋体" w:cs="宋体"/>
              </w:rPr>
              <w:t>鑫元基金管理有限公司成立于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5A54B0">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赎回，投资者应考虑产品期限并合理安排自身投资计划。如遇理财产品所投资资产部分或全部提前偿付、因不可抗力因素导致本理财产品必须提前终止等情形时，管理人有权提前终止本产品。</w:t>
            </w:r>
          </w:p>
          <w:p w:rsidR="005A54B0" w:rsidRDefault="007A6ABA">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5A54B0" w:rsidRDefault="007A6ABA">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5A54B0" w:rsidRDefault="007A6ABA">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w:t>
            </w:r>
            <w:r>
              <w:rPr>
                <w:rFonts w:ascii="宋体" w:hAnsi="宋体" w:cs="宋体"/>
                <w:b/>
                <w:color w:val="000000"/>
              </w:rPr>
              <w:t>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5A54B0">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5A54B0" w:rsidRDefault="007A6ABA">
            <w:pPr>
              <w:widowControl/>
              <w:spacing w:line="200" w:lineRule="exact"/>
              <w:jc w:val="left"/>
              <w:rPr>
                <w:kern w:val="0"/>
              </w:rPr>
            </w:pPr>
            <w:r>
              <w:rPr>
                <w:rFonts w:ascii="宋体" w:hint="eastAsia"/>
                <w:kern w:val="0"/>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5A54B0" w:rsidRDefault="007A6ABA">
            <w:pPr>
              <w:spacing w:line="200" w:lineRule="exact"/>
            </w:pPr>
            <w:r>
              <w:rPr>
                <w:rFonts w:ascii="宋体" w:hAnsi="宋体" w:cs="宋体"/>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5A54B0" w:rsidRDefault="007A6ABA">
      <w:pPr>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5A54B0" w:rsidRDefault="007A6ABA">
      <w:pPr>
        <w:pStyle w:val="Normala068a352"/>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5A54B0" w:rsidRDefault="007A6ABA">
      <w:pPr>
        <w:pStyle w:val="Normala068a352"/>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5A54B0" w:rsidRDefault="007A6ABA">
      <w:pPr>
        <w:pStyle w:val="Normala068a352"/>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5A54B0" w:rsidRDefault="007A6ABA">
      <w:pPr>
        <w:pStyle w:val="Normala068a352"/>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销售机构：指本理财产品的销售机构，包括销售本公司发行理财产品的理财公司即南银理财，以及接受南银理财委托销售其发行理财产品的代理销售机构（代销机构）。</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5A54B0" w:rsidRDefault="007A6ABA">
      <w:pPr>
        <w:pStyle w:val="Normala068a352"/>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w:t>
      </w:r>
      <w:r>
        <w:rPr>
          <w:color w:val="3D3D3D"/>
          <w:kern w:val="0"/>
          <w:sz w:val="15"/>
          <w:szCs w:val="15"/>
        </w:rPr>
        <w:t>指本理财产品对应的《投资者权益须知》以及对该文件的有效修改或补充。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5A54B0" w:rsidRDefault="007A6ABA">
      <w:pPr>
        <w:pStyle w:val="Normala068a352"/>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w:t>
      </w:r>
      <w:r>
        <w:rPr>
          <w:color w:val="3D3D3D"/>
          <w:kern w:val="0"/>
          <w:sz w:val="15"/>
          <w:szCs w:val="15"/>
        </w:rPr>
        <w:t>理财产品销售文件或提交认购、申购申请起的至少二十四小时的期间，在此期间内投资者有权解除理财产品销售文件或撤销认购、申购申请。</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r>
        <w:rPr>
          <w:color w:val="3D3D3D"/>
          <w:kern w:val="0"/>
          <w:sz w:val="15"/>
          <w:szCs w:val="15"/>
        </w:rPr>
        <w:t>。</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5A54B0" w:rsidRDefault="007A6ABA">
      <w:pPr>
        <w:pStyle w:val="Normala068a352"/>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5A54B0" w:rsidRDefault="007A6ABA">
      <w:pPr>
        <w:pStyle w:val="Normala068a35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南银理财珠联璧合鑫逸稳一年</w:t>
      </w:r>
      <w:r>
        <w:rPr>
          <w:b/>
          <w:bCs/>
          <w:color w:val="3D3D3D"/>
          <w:kern w:val="0"/>
          <w:sz w:val="15"/>
          <w:szCs w:val="15"/>
        </w:rPr>
        <w:t>139</w:t>
      </w:r>
      <w:r>
        <w:rPr>
          <w:b/>
          <w:bCs/>
          <w:color w:val="3D3D3D"/>
          <w:kern w:val="0"/>
          <w:sz w:val="15"/>
          <w:szCs w:val="15"/>
        </w:rPr>
        <w:t>期封闭式公募人民币理财产品</w:t>
      </w:r>
      <w:r>
        <w:rPr>
          <w:rFonts w:ascii="宋体" w:hint="eastAsia"/>
          <w:color w:val="3D3D3D"/>
          <w:kern w:val="0"/>
          <w:sz w:val="15"/>
          <w:szCs w:val="15"/>
        </w:rPr>
        <w:t>。</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r>
        <w:rPr>
          <w:bCs/>
          <w:color w:val="3D3D3D"/>
          <w:kern w:val="0"/>
          <w:sz w:val="15"/>
          <w:szCs w:val="15"/>
        </w:rPr>
        <w:t>。</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5A54B0" w:rsidRDefault="007A6ABA">
      <w:pPr>
        <w:pStyle w:val="Normala068a352"/>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5A54B0" w:rsidRDefault="007A6ABA">
      <w:pPr>
        <w:pStyle w:val="Normala068a352"/>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5A54B0" w:rsidRDefault="007A6ABA">
      <w:pPr>
        <w:pStyle w:val="Normala068a352"/>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w:t>
      </w:r>
      <w:r>
        <w:rPr>
          <w:color w:val="3D3D3D"/>
          <w:kern w:val="0"/>
          <w:sz w:val="15"/>
          <w:szCs w:val="15"/>
        </w:rPr>
        <w:t>不限于：</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5A54B0" w:rsidRDefault="007A6ABA">
      <w:pPr>
        <w:pStyle w:val="10a4cfce4"/>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5A54B0" w:rsidRDefault="007A6ABA">
      <w:pPr>
        <w:pStyle w:val="Normala068a352"/>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5A54B0" w:rsidRDefault="007A6ABA">
      <w:pPr>
        <w:pStyle w:val="Normala068a352"/>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5A54B0" w:rsidRDefault="007A6ABA">
      <w:pPr>
        <w:pStyle w:val="Normala068a352"/>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w:t>
      </w:r>
      <w:r>
        <w:rPr>
          <w:color w:val="3D3D3D"/>
          <w:kern w:val="0"/>
          <w:sz w:val="15"/>
          <w:szCs w:val="15"/>
        </w:rPr>
        <w:t>关事宜的法律、行政法规、地方法规、部委规章、地方政府规章、规范性文件、规则、通知、须知、业务指南、指引或操作规程，及其有效的修改、更新或补充。</w:t>
      </w:r>
    </w:p>
    <w:p w:rsidR="005A54B0" w:rsidRDefault="007A6ABA">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5A54B0" w:rsidRDefault="007A6ABA">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万元，成立日当日产品净值为</w:t>
      </w:r>
      <w:r>
        <w:rPr>
          <w:sz w:val="15"/>
        </w:rPr>
        <w:t>1.0000</w:t>
      </w:r>
      <w:r>
        <w:rPr>
          <w:rFonts w:ascii="宋体" w:hAnsi="宋体" w:cs="宋体"/>
          <w:sz w:val="15"/>
        </w:rPr>
        <w:t>元，折算份额</w:t>
      </w:r>
      <w:r>
        <w:rPr>
          <w:sz w:val="15"/>
        </w:rPr>
        <w:t>100,000</w:t>
      </w:r>
      <w:r>
        <w:rPr>
          <w:rFonts w:ascii="宋体" w:hAnsi="宋体" w:cs="宋体"/>
          <w:sz w:val="15"/>
        </w:rPr>
        <w:t>份。</w:t>
      </w:r>
    </w:p>
    <w:p w:rsidR="005A54B0" w:rsidRDefault="007A6ABA">
      <w:pPr>
        <w:spacing w:line="200" w:lineRule="exact"/>
        <w:ind w:firstLine="280"/>
        <w:jc w:val="left"/>
      </w:pPr>
      <w:r>
        <w:rPr>
          <w:rFonts w:ascii="宋体" w:hAnsi="宋体" w:cs="宋体"/>
          <w:sz w:val="15"/>
        </w:rPr>
        <w:t>情景示例一：产品实际到期日，扣除所有税费后（如有业绩报酬，已扣除）的期末产品每份额净值为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5A54B0" w:rsidRDefault="007A6ABA">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w:t>
      </w:r>
      <w:r>
        <w:rPr>
          <w:sz w:val="15"/>
        </w:rPr>
        <w:t>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以上数据为假设情形中的模拟数据，不代表实际收益，投资须谨慎。</w:t>
      </w:r>
    </w:p>
    <w:p w:rsidR="005A54B0" w:rsidRDefault="007A6ABA">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5A54B0" w:rsidRDefault="007A6ABA">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5A54B0" w:rsidRDefault="007A6ABA">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5A54B0" w:rsidRDefault="007A6ABA">
      <w:pPr>
        <w:spacing w:line="200" w:lineRule="exact"/>
        <w:ind w:firstLine="300"/>
      </w:pPr>
      <w:r>
        <w:rPr>
          <w:rFonts w:ascii="宋体" w:hAnsi="宋体" w:cs="宋体"/>
          <w:sz w:val="15"/>
        </w:rPr>
        <w:t>（一）估值日</w:t>
      </w:r>
    </w:p>
    <w:p w:rsidR="005A54B0" w:rsidRDefault="007A6ABA">
      <w:pPr>
        <w:spacing w:line="200" w:lineRule="exact"/>
        <w:ind w:firstLine="300"/>
      </w:pPr>
      <w:r>
        <w:rPr>
          <w:rFonts w:ascii="宋体" w:hAnsi="宋体" w:cs="宋体"/>
          <w:sz w:val="15"/>
        </w:rPr>
        <w:t>本理财产品每个工作日进行估值。</w:t>
      </w:r>
    </w:p>
    <w:p w:rsidR="005A54B0" w:rsidRDefault="007A6ABA">
      <w:pPr>
        <w:spacing w:line="200" w:lineRule="exact"/>
        <w:ind w:firstLine="300"/>
      </w:pPr>
      <w:r>
        <w:rPr>
          <w:rFonts w:ascii="宋体" w:hAnsi="宋体" w:cs="宋体"/>
          <w:sz w:val="15"/>
        </w:rPr>
        <w:t>（二）</w:t>
      </w:r>
      <w:r>
        <w:rPr>
          <w:rFonts w:ascii="宋体" w:hAnsi="宋体" w:cs="宋体"/>
          <w:sz w:val="15"/>
        </w:rPr>
        <w:t>估值对象</w:t>
      </w:r>
    </w:p>
    <w:p w:rsidR="005A54B0" w:rsidRDefault="007A6ABA">
      <w:pPr>
        <w:spacing w:line="200" w:lineRule="exact"/>
        <w:ind w:firstLine="300"/>
      </w:pPr>
      <w:r>
        <w:rPr>
          <w:rFonts w:ascii="宋体" w:hAnsi="宋体" w:cs="宋体"/>
          <w:sz w:val="15"/>
        </w:rPr>
        <w:t>本理财产品所拥有的所有资产及负债。</w:t>
      </w:r>
    </w:p>
    <w:p w:rsidR="005A54B0" w:rsidRDefault="007A6ABA">
      <w:pPr>
        <w:spacing w:line="200" w:lineRule="exact"/>
        <w:ind w:firstLine="300"/>
      </w:pPr>
      <w:r>
        <w:rPr>
          <w:rFonts w:ascii="宋体" w:hAnsi="宋体" w:cs="宋体"/>
          <w:sz w:val="15"/>
        </w:rPr>
        <w:t>（三）估值目的</w:t>
      </w:r>
    </w:p>
    <w:p w:rsidR="005A54B0" w:rsidRDefault="007A6ABA">
      <w:pPr>
        <w:spacing w:line="200" w:lineRule="exact"/>
        <w:ind w:firstLine="300"/>
      </w:pPr>
      <w:r>
        <w:rPr>
          <w:rFonts w:ascii="宋体" w:hAnsi="宋体" w:cs="宋体"/>
          <w:sz w:val="15"/>
        </w:rPr>
        <w:t>客观、准确反映理财产品的价值。</w:t>
      </w:r>
    </w:p>
    <w:p w:rsidR="005A54B0" w:rsidRDefault="007A6ABA">
      <w:pPr>
        <w:spacing w:line="200" w:lineRule="exact"/>
        <w:ind w:firstLine="300"/>
      </w:pPr>
      <w:r>
        <w:rPr>
          <w:rFonts w:ascii="宋体" w:hAnsi="宋体" w:cs="宋体"/>
          <w:sz w:val="15"/>
        </w:rPr>
        <w:t>（四）估值原则</w:t>
      </w:r>
    </w:p>
    <w:p w:rsidR="005A54B0" w:rsidRDefault="007A6ABA">
      <w:pPr>
        <w:spacing w:line="200" w:lineRule="exact"/>
        <w:ind w:firstLine="300"/>
      </w:pPr>
      <w:r>
        <w:rPr>
          <w:rFonts w:ascii="宋体" w:hAnsi="宋体" w:cs="宋体"/>
          <w:sz w:val="15"/>
        </w:rPr>
        <w:t>理财产品应坚持公允价值计量原则，符合会计准则和监管规定的范围内的可选择摊余成本法计量。</w:t>
      </w:r>
    </w:p>
    <w:p w:rsidR="005A54B0" w:rsidRDefault="007A6ABA">
      <w:pPr>
        <w:spacing w:line="200" w:lineRule="exact"/>
        <w:ind w:firstLine="300"/>
      </w:pPr>
      <w:r>
        <w:rPr>
          <w:rFonts w:ascii="宋体" w:hAnsi="宋体" w:cs="宋体"/>
          <w:sz w:val="15"/>
        </w:rPr>
        <w:t>（五）估值方法</w:t>
      </w:r>
    </w:p>
    <w:p w:rsidR="005A54B0" w:rsidRDefault="007A6ABA">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5A54B0" w:rsidRDefault="007A6ABA">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5A54B0" w:rsidRDefault="007A6ABA">
      <w:pPr>
        <w:spacing w:line="200" w:lineRule="exact"/>
        <w:ind w:firstLine="300"/>
      </w:pPr>
      <w:r>
        <w:rPr>
          <w:rFonts w:ascii="宋体" w:hAnsi="宋体" w:cs="宋体"/>
          <w:color w:val="000000"/>
          <w:sz w:val="15"/>
        </w:rPr>
        <w:t>以本金列示，按商定的利率在实际持有期间内逐日计提。</w:t>
      </w:r>
    </w:p>
    <w:p w:rsidR="005A54B0" w:rsidRDefault="007A6ABA">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5A54B0" w:rsidRDefault="007A6ABA">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w:t>
      </w:r>
      <w:r>
        <w:rPr>
          <w:rFonts w:ascii="宋体" w:hAnsi="宋体" w:cs="宋体"/>
          <w:color w:val="000000"/>
          <w:sz w:val="15"/>
        </w:rPr>
        <w:t>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5A54B0" w:rsidRDefault="007A6ABA">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5A54B0" w:rsidRDefault="007A6ABA">
      <w:pPr>
        <w:spacing w:line="200" w:lineRule="exact"/>
        <w:ind w:firstLine="300"/>
      </w:pPr>
      <w:r>
        <w:rPr>
          <w:rFonts w:ascii="宋体" w:hAnsi="宋体" w:cs="宋体"/>
          <w:color w:val="000000"/>
          <w:sz w:val="15"/>
        </w:rPr>
        <w:t>非标准化债权类资产包括股票质押式回购</w:t>
      </w:r>
      <w:r>
        <w:rPr>
          <w:rFonts w:ascii="宋体" w:hAnsi="宋体" w:cs="宋体"/>
          <w:color w:val="000000"/>
          <w:sz w:val="15"/>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w:t>
      </w:r>
    </w:p>
    <w:p w:rsidR="005A54B0" w:rsidRDefault="007A6ABA">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5A54B0" w:rsidRDefault="007A6ABA">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非上市证券投资基金估值以基金管理人出具的基金净资产管理估值报告或分红确认单为准。上市证券投资基金按所投资基金最近一个估</w:t>
      </w:r>
      <w:r>
        <w:rPr>
          <w:rFonts w:ascii="宋体" w:hAnsi="宋体" w:cs="宋体"/>
          <w:color w:val="000000"/>
          <w:sz w:val="15"/>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5A54B0" w:rsidRDefault="007A6ABA">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5A54B0" w:rsidRDefault="007A6ABA">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ascii="宋体" w:hAnsi="宋体" w:cs="宋体"/>
          <w:color w:val="000000"/>
          <w:sz w:val="15"/>
        </w:rPr>
        <w:t>易日的收盘价确定公允价值。交易不活跃股权和非上市股权存在公允价值的，按照公允价值估值，或采用估值技术确定估值，也可采用被委托机构提供的估值或计量报告。</w:t>
      </w:r>
    </w:p>
    <w:p w:rsidR="005A54B0" w:rsidRDefault="007A6ABA">
      <w:pPr>
        <w:spacing w:line="200" w:lineRule="exact"/>
        <w:ind w:firstLine="300"/>
      </w:pPr>
      <w:r>
        <w:rPr>
          <w:rFonts w:ascii="宋体" w:hAnsi="宋体" w:cs="宋体"/>
          <w:color w:val="000000"/>
          <w:sz w:val="15"/>
        </w:rPr>
        <w:t>6.</w:t>
      </w:r>
      <w:r>
        <w:rPr>
          <w:rFonts w:ascii="宋体" w:hAnsi="宋体" w:cs="宋体"/>
          <w:color w:val="000000"/>
          <w:sz w:val="15"/>
        </w:rPr>
        <w:t>资管计划、信托计划等资产</w:t>
      </w:r>
    </w:p>
    <w:p w:rsidR="005A54B0" w:rsidRDefault="007A6ABA">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5A54B0" w:rsidRDefault="007A6ABA">
      <w:pPr>
        <w:spacing w:line="200" w:lineRule="exact"/>
        <w:ind w:firstLine="300"/>
      </w:pPr>
      <w:r>
        <w:rPr>
          <w:rFonts w:ascii="宋体" w:hAnsi="宋体" w:cs="宋体"/>
          <w:color w:val="000000"/>
          <w:sz w:val="15"/>
        </w:rPr>
        <w:t>7.</w:t>
      </w:r>
      <w:r>
        <w:rPr>
          <w:rFonts w:ascii="宋体" w:hAnsi="宋体" w:cs="宋体"/>
          <w:color w:val="000000"/>
          <w:sz w:val="15"/>
        </w:rPr>
        <w:t>其他资产</w:t>
      </w:r>
    </w:p>
    <w:p w:rsidR="005A54B0" w:rsidRDefault="007A6ABA">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5A54B0" w:rsidRDefault="007A6ABA">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如果管理人或托管人认为按以上规定的方法对产品资产进行估值不能客</w:t>
      </w:r>
      <w:r>
        <w:rPr>
          <w:rFonts w:ascii="宋体" w:hAnsi="宋体" w:cs="宋体"/>
          <w:color w:val="000000"/>
          <w:sz w:val="15"/>
        </w:rPr>
        <w:t>观反映其公允价值的，可提出异议，管理人和托管人协商一致后，变更公允价值的确定方式，并从经管理人与托管人协商一致日起执行。</w:t>
      </w:r>
    </w:p>
    <w:p w:rsidR="005A54B0" w:rsidRDefault="007A6ABA">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如有新增事项或变更事项，按国家最新规定或管理人最新的约定估值。</w:t>
      </w:r>
    </w:p>
    <w:p w:rsidR="005A54B0" w:rsidRDefault="007A6ABA">
      <w:pPr>
        <w:spacing w:line="200" w:lineRule="exact"/>
        <w:ind w:firstLine="300"/>
      </w:pPr>
      <w:r>
        <w:rPr>
          <w:rFonts w:ascii="宋体" w:hAnsi="宋体" w:cs="宋体"/>
          <w:sz w:val="15"/>
        </w:rPr>
        <w:t>（六）估值错误及暂停估值</w:t>
      </w:r>
    </w:p>
    <w:p w:rsidR="005A54B0" w:rsidRDefault="007A6ABA">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5A54B0" w:rsidRDefault="007A6ABA">
      <w:pPr>
        <w:widowControl/>
        <w:spacing w:line="200" w:lineRule="exact"/>
        <w:rPr>
          <w:b/>
          <w:bCs/>
          <w:kern w:val="0"/>
          <w:sz w:val="15"/>
          <w:szCs w:val="15"/>
        </w:rPr>
      </w:pPr>
      <w:r>
        <w:rPr>
          <w:rFonts w:ascii="宋体" w:hint="eastAsia"/>
          <w:b/>
          <w:bCs/>
          <w:kern w:val="0"/>
          <w:sz w:val="15"/>
          <w:szCs w:val="15"/>
        </w:rPr>
        <w:t>第五条</w:t>
      </w:r>
      <w:r>
        <w:rPr>
          <w:rFonts w:hint="eastAsia"/>
          <w:b/>
          <w:bCs/>
          <w:kern w:val="0"/>
          <w:sz w:val="15"/>
          <w:szCs w:val="15"/>
        </w:rPr>
        <w:t xml:space="preserve">  </w:t>
      </w:r>
      <w:r>
        <w:rPr>
          <w:rFonts w:ascii="宋体" w:hint="eastAsia"/>
          <w:b/>
          <w:bCs/>
          <w:kern w:val="0"/>
          <w:sz w:val="15"/>
          <w:szCs w:val="15"/>
        </w:rPr>
        <w:t>信息披露</w:t>
      </w:r>
    </w:p>
    <w:p w:rsidR="005A54B0" w:rsidRDefault="007A6ABA">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5A54B0" w:rsidRDefault="007A6ABA">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）、代销机构官网（详见投资者权益须知第八条）</w:t>
      </w:r>
      <w:r>
        <w:rPr>
          <w:rFonts w:ascii="宋体" w:hAnsi="宋体" w:cs="宋体"/>
          <w:color w:val="3D3D3D"/>
          <w:sz w:val="15"/>
        </w:rPr>
        <w:t>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5A54B0" w:rsidRDefault="007A6ABA">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5A54B0" w:rsidRDefault="007A6ABA">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管理人在本理财产品存续期间至少按周向投资者披露净值。</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个工作日或者剩余存续期不超过</w:t>
      </w:r>
      <w:r>
        <w:rPr>
          <w:color w:val="3D3D3D"/>
          <w:kern w:val="0"/>
          <w:sz w:val="15"/>
          <w:szCs w:val="15"/>
        </w:rPr>
        <w:t>90</w:t>
      </w:r>
      <w:r>
        <w:rPr>
          <w:rFonts w:ascii="宋体" w:hint="eastAsia"/>
          <w:color w:val="3D3D3D"/>
          <w:kern w:val="0"/>
          <w:sz w:val="15"/>
          <w:szCs w:val="15"/>
        </w:rPr>
        <w:t>个工作日的，管理人可以不编制产品当期的季度、半年和年度报告。</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理财产品在运作管理过程中，发生可能对理财产品持有人权益产生影响的事项时，管理人将根据法</w:t>
      </w:r>
      <w:r>
        <w:rPr>
          <w:rFonts w:ascii="宋体" w:hint="eastAsia"/>
          <w:color w:val="3D3D3D"/>
          <w:kern w:val="0"/>
          <w:sz w:val="15"/>
          <w:szCs w:val="15"/>
        </w:rPr>
        <w:t>律法规规定及时进行临时信息披露。</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5A54B0" w:rsidRDefault="007A6ABA">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5A54B0" w:rsidRDefault="007A6ABA">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5A54B0" w:rsidRDefault="007A6ABA">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5A54B0" w:rsidRDefault="007A6ABA">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w:t>
      </w:r>
      <w:r>
        <w:rPr>
          <w:rFonts w:ascii="宋体" w:hint="eastAsia"/>
          <w:b/>
          <w:bCs/>
          <w:color w:val="3D3D3D"/>
          <w:kern w:val="0"/>
          <w:sz w:val="15"/>
          <w:szCs w:val="15"/>
        </w:rPr>
        <w:t>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w:t>
      </w:r>
      <w:r>
        <w:rPr>
          <w:rFonts w:ascii="宋体" w:hint="eastAsia"/>
          <w:b/>
          <w:bCs/>
          <w:color w:val="3D3D3D"/>
          <w:kern w:val="0"/>
          <w:sz w:val="15"/>
          <w:szCs w:val="15"/>
        </w:rPr>
        <w:t>持有本理财产品。</w:t>
      </w:r>
    </w:p>
    <w:p w:rsidR="005A54B0" w:rsidRDefault="007A6ABA">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第六条</w:t>
      </w:r>
      <w:r>
        <w:rPr>
          <w:rFonts w:hint="eastAsia"/>
          <w:b/>
          <w:bCs/>
          <w:kern w:val="0"/>
          <w:sz w:val="15"/>
          <w:szCs w:val="15"/>
        </w:rPr>
        <w:t xml:space="preserve">  </w:t>
      </w:r>
      <w:r>
        <w:rPr>
          <w:rFonts w:ascii="宋体" w:hint="eastAsia"/>
          <w:b/>
          <w:bCs/>
          <w:kern w:val="0"/>
          <w:sz w:val="15"/>
          <w:szCs w:val="15"/>
        </w:rPr>
        <w:t>投资者保护提示</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您如对销售机构产品推介和销售等服务有任何意见或建议，您可通过拨打销售机构客服电话进行咨询及反馈。</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您如对理财产品设计、投资管理等事项有任何意见或建议，您可通过拨打管理人客服电话进行咨询及反馈。</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第七条</w:t>
      </w:r>
      <w:r>
        <w:rPr>
          <w:rFonts w:hint="eastAsia"/>
          <w:b/>
          <w:bCs/>
          <w:kern w:val="0"/>
          <w:sz w:val="15"/>
          <w:szCs w:val="15"/>
        </w:rPr>
        <w:t xml:space="preserve">  </w:t>
      </w:r>
      <w:r>
        <w:rPr>
          <w:rFonts w:ascii="宋体" w:hint="eastAsia"/>
          <w:b/>
          <w:bCs/>
          <w:kern w:val="0"/>
          <w:sz w:val="15"/>
          <w:szCs w:val="15"/>
        </w:rPr>
        <w:t>法律适用和争议解决</w:t>
      </w:r>
    </w:p>
    <w:p w:rsidR="005A54B0" w:rsidRDefault="007A6ABA">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第八条</w:t>
      </w:r>
      <w:r>
        <w:rPr>
          <w:rFonts w:hint="eastAsia"/>
          <w:b/>
          <w:bCs/>
          <w:kern w:val="0"/>
          <w:sz w:val="15"/>
          <w:szCs w:val="15"/>
        </w:rPr>
        <w:t xml:space="preserve">  </w:t>
      </w:r>
      <w:r>
        <w:rPr>
          <w:rFonts w:ascii="宋体" w:hint="eastAsia"/>
          <w:b/>
          <w:bCs/>
          <w:kern w:val="0"/>
          <w:sz w:val="15"/>
          <w:szCs w:val="15"/>
        </w:rPr>
        <w:t>重要提示</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w:t>
      </w:r>
      <w:r>
        <w:rPr>
          <w:rFonts w:ascii="宋体" w:hint="eastAsia"/>
          <w:b/>
          <w:bCs/>
          <w:kern w:val="0"/>
          <w:sz w:val="15"/>
          <w:szCs w:val="15"/>
        </w:rPr>
        <w:t>其他管理人或销售机构认为必要的业务合作机构提供投资者相关信息。管理人及销售机构保证信息采集、处理及使用的安全性和合法性。</w:t>
      </w:r>
    </w:p>
    <w:p w:rsidR="005A54B0" w:rsidRDefault="007A6ABA">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5A54B0" w:rsidRDefault="005A54B0">
      <w:pPr>
        <w:widowControl/>
        <w:rPr>
          <w:b/>
          <w:bCs/>
          <w:color w:val="3D3D3D"/>
          <w:kern w:val="0"/>
          <w:sz w:val="15"/>
          <w:szCs w:val="15"/>
        </w:rPr>
      </w:pPr>
    </w:p>
    <w:p w:rsidR="005A54B0" w:rsidRDefault="007A6ABA">
      <w:pPr>
        <w:widowControl/>
        <w:rPr>
          <w:b/>
          <w:bCs/>
          <w:color w:val="3D3D3D"/>
          <w:kern w:val="0"/>
          <w:sz w:val="15"/>
          <w:szCs w:val="15"/>
        </w:rPr>
      </w:pPr>
      <w:r>
        <w:rPr>
          <w:rFonts w:ascii="宋体" w:hint="eastAsia"/>
          <w:b/>
          <w:bCs/>
          <w:color w:val="3D3D3D"/>
          <w:kern w:val="0"/>
          <w:sz w:val="15"/>
          <w:szCs w:val="15"/>
        </w:rPr>
        <w:t>风险提示：</w:t>
      </w:r>
    </w:p>
    <w:p w:rsidR="005A54B0" w:rsidRDefault="007A6ABA">
      <w:pPr>
        <w:tabs>
          <w:tab w:val="left" w:pos="8033"/>
        </w:tabs>
        <w:jc w:val="left"/>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
        <w:br w:type="page"/>
      </w:r>
    </w:p>
    <w:p w14:paraId="1FFA0995" w14:textId="77777777" w:rsidR="007228C1" w:rsidRDefault="007228C1">
      <w:pPr>
        <w:jc w:val="center"/>
        <w:rPr>
          <w:rFonts w:eastAsia="黑体"/>
          <w:b/>
          <w:bCs/>
          <w:sz w:val="36"/>
          <w:szCs w:val="20"/>
        </w:rPr>
      </w:pPr>
    </w:p>
    <w:p w14:paraId="564E499B" w14:textId="77777777" w:rsidR="007228C1" w:rsidRDefault="008B423D">
      <w:pPr>
        <w:jc w:val="center"/>
        <w:rPr>
          <w:rFonts w:eastAsia="黑体"/>
          <w:b/>
          <w:bCs/>
          <w:sz w:val="36"/>
          <w:szCs w:val="20"/>
        </w:rPr>
      </w:pPr>
      <w:r>
        <w:rPr>
          <w:rFonts w:eastAsia="黑体"/>
          <w:b/>
          <w:bCs/>
          <w:sz w:val="36"/>
          <w:szCs w:val="20"/>
        </w:rPr>
        <w:t>理财产品销售协议书</w:t>
      </w:r>
    </w:p>
    <w:p w14:paraId="146AAD28" w14:textId="77777777" w:rsidR="007228C1" w:rsidRDefault="007228C1">
      <w:pPr>
        <w:tabs>
          <w:tab w:val="left" w:pos="0"/>
        </w:tabs>
        <w:jc w:val="center"/>
        <w:rPr>
          <w:sz w:val="22"/>
          <w:szCs w:val="28"/>
        </w:rPr>
      </w:pPr>
    </w:p>
    <w:p w14:paraId="5B8195F2" w14:textId="77777777" w:rsidR="007228C1" w:rsidRDefault="007228C1">
      <w:pPr>
        <w:tabs>
          <w:tab w:val="left" w:pos="0"/>
        </w:tabs>
        <w:jc w:val="center"/>
        <w:rPr>
          <w:sz w:val="22"/>
          <w:szCs w:val="28"/>
        </w:rPr>
      </w:pPr>
    </w:p>
    <w:p w14:paraId="15624A85" w14:textId="77777777" w:rsidR="007228C1" w:rsidRDefault="007228C1">
      <w:pPr>
        <w:tabs>
          <w:tab w:val="left" w:pos="0"/>
        </w:tabs>
        <w:jc w:val="center"/>
        <w:rPr>
          <w:sz w:val="22"/>
          <w:szCs w:val="28"/>
        </w:rPr>
      </w:pPr>
    </w:p>
    <w:p w14:paraId="76D18F7A" w14:textId="77777777" w:rsidR="007228C1" w:rsidRDefault="007228C1">
      <w:pPr>
        <w:tabs>
          <w:tab w:val="left" w:pos="0"/>
        </w:tabs>
        <w:jc w:val="center"/>
        <w:rPr>
          <w:sz w:val="22"/>
          <w:szCs w:val="28"/>
        </w:rPr>
      </w:pPr>
    </w:p>
    <w:p w14:paraId="607A403E" w14:textId="77777777" w:rsidR="007228C1" w:rsidRDefault="007228C1">
      <w:pPr>
        <w:tabs>
          <w:tab w:val="left" w:pos="0"/>
        </w:tabs>
        <w:jc w:val="center"/>
        <w:rPr>
          <w:sz w:val="22"/>
          <w:szCs w:val="28"/>
        </w:rPr>
      </w:pPr>
    </w:p>
    <w:p w14:paraId="4CFF6D5A" w14:textId="77777777" w:rsidR="007228C1" w:rsidRDefault="007228C1">
      <w:pPr>
        <w:tabs>
          <w:tab w:val="left" w:pos="0"/>
        </w:tabs>
        <w:jc w:val="center"/>
        <w:rPr>
          <w:sz w:val="22"/>
          <w:szCs w:val="28"/>
        </w:rPr>
      </w:pPr>
    </w:p>
    <w:p w14:paraId="7E1305EF" w14:textId="77777777" w:rsidR="007228C1" w:rsidRDefault="007228C1">
      <w:pPr>
        <w:tabs>
          <w:tab w:val="left" w:pos="0"/>
        </w:tabs>
        <w:jc w:val="center"/>
        <w:rPr>
          <w:sz w:val="22"/>
          <w:szCs w:val="28"/>
        </w:rPr>
      </w:pPr>
    </w:p>
    <w:p w14:paraId="3AD7A5C6" w14:textId="77777777" w:rsidR="007228C1" w:rsidRDefault="007228C1">
      <w:pPr>
        <w:tabs>
          <w:tab w:val="left" w:pos="0"/>
        </w:tabs>
        <w:jc w:val="center"/>
        <w:rPr>
          <w:sz w:val="22"/>
          <w:szCs w:val="28"/>
        </w:rPr>
      </w:pPr>
    </w:p>
    <w:p w14:paraId="7DFF71D2" w14:textId="77777777" w:rsidR="007228C1" w:rsidRDefault="008B423D">
      <w:pPr>
        <w:tabs>
          <w:tab w:val="left" w:pos="0"/>
        </w:tabs>
        <w:jc w:val="center"/>
        <w:rPr>
          <w:sz w:val="22"/>
          <w:szCs w:val="28"/>
        </w:rPr>
      </w:pPr>
      <w:r>
        <w:rPr>
          <w:sz w:val="22"/>
          <w:szCs w:val="28"/>
        </w:rPr>
        <w:t>编制单位：</w:t>
      </w:r>
      <w:r>
        <w:rPr>
          <w:sz w:val="22"/>
          <w:szCs w:val="28"/>
          <w:u w:val="single"/>
        </w:rPr>
        <w:t>南银理财有限责任公司</w:t>
      </w:r>
    </w:p>
    <w:p w14:paraId="4BBE7DC6" w14:textId="77777777" w:rsidR="007228C1" w:rsidRDefault="008B423D">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65EBF1C4" w14:textId="77777777" w:rsidR="007228C1" w:rsidRDefault="008B423D">
      <w:pPr>
        <w:adjustRightInd w:val="0"/>
        <w:snapToGrid w:val="0"/>
        <w:rPr>
          <w:b/>
          <w:bCs/>
          <w:sz w:val="22"/>
          <w:szCs w:val="28"/>
        </w:rPr>
      </w:pPr>
      <w:bookmarkStart w:id="0" w:name="_Toc310243215"/>
      <w:bookmarkStart w:id="1" w:name="_Toc310770283"/>
      <w:bookmarkStart w:id="2" w:name="_Toc310770513"/>
      <w:bookmarkStart w:id="3" w:name="_Toc310836823"/>
      <w:bookmarkStart w:id="4" w:name="_Toc310243214"/>
      <w:bookmarkStart w:id="5" w:name="_Toc310836824"/>
      <w:bookmarkStart w:id="6" w:name="_Toc310773099"/>
      <w:bookmarkStart w:id="7" w:name="_Toc310770284"/>
      <w:bookmarkStart w:id="8" w:name="_Toc310836822"/>
      <w:bookmarkStart w:id="9" w:name="_Toc310243213"/>
      <w:bookmarkStart w:id="10" w:name="_Toc310773100"/>
      <w:bookmarkStart w:id="11" w:name="_Toc310773098"/>
      <w:bookmarkStart w:id="12" w:name="_Toc310770512"/>
      <w:bookmarkStart w:id="13" w:name="_Toc310770511"/>
      <w:bookmarkStart w:id="14" w:name="_Toc310770287"/>
      <w:bookmarkStart w:id="15" w:name="_Toc3107702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27A6C811" w14:textId="77777777" w:rsidR="007228C1" w:rsidRDefault="008B423D">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4456022D" w14:textId="77777777" w:rsidR="007228C1" w:rsidRDefault="007228C1">
      <w:pPr>
        <w:tabs>
          <w:tab w:val="left" w:pos="7920"/>
          <w:tab w:val="left" w:pos="8100"/>
        </w:tabs>
        <w:rPr>
          <w:b/>
          <w:bCs/>
          <w:sz w:val="22"/>
          <w:szCs w:val="22"/>
        </w:rPr>
      </w:pPr>
    </w:p>
    <w:p w14:paraId="329E558F" w14:textId="77777777" w:rsidR="007228C1" w:rsidRDefault="007228C1">
      <w:pPr>
        <w:jc w:val="center"/>
        <w:rPr>
          <w:rFonts w:eastAsia="黑体"/>
          <w:b/>
          <w:bCs/>
          <w:sz w:val="36"/>
          <w:szCs w:val="20"/>
        </w:rPr>
      </w:pPr>
    </w:p>
    <w:p w14:paraId="7F452749" w14:textId="77777777" w:rsidR="007228C1" w:rsidRDefault="008B423D">
      <w:pPr>
        <w:jc w:val="center"/>
        <w:rPr>
          <w:rFonts w:eastAsia="黑体"/>
          <w:b/>
          <w:bCs/>
          <w:sz w:val="36"/>
          <w:szCs w:val="20"/>
        </w:rPr>
      </w:pPr>
      <w:r>
        <w:rPr>
          <w:rFonts w:eastAsia="黑体"/>
          <w:b/>
          <w:bCs/>
          <w:sz w:val="36"/>
          <w:szCs w:val="20"/>
        </w:rPr>
        <w:t>理财产品销售协议书</w:t>
      </w:r>
    </w:p>
    <w:p w14:paraId="1B0121A5" w14:textId="77777777" w:rsidR="007228C1" w:rsidRDefault="007228C1">
      <w:pPr>
        <w:ind w:firstLineChars="200" w:firstLine="400"/>
        <w:rPr>
          <w:rFonts w:eastAsia="方正细黑一简体"/>
          <w:sz w:val="20"/>
          <w:szCs w:val="20"/>
        </w:rPr>
      </w:pPr>
    </w:p>
    <w:p w14:paraId="15746FD1" w14:textId="77777777" w:rsidR="007228C1" w:rsidRDefault="008B423D">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EF2533C" w14:textId="77777777" w:rsidR="007228C1" w:rsidRDefault="008B423D">
      <w:pPr>
        <w:numPr>
          <w:ilvl w:val="0"/>
          <w:numId w:val="5"/>
        </w:numPr>
        <w:ind w:firstLineChars="200" w:firstLine="442"/>
        <w:rPr>
          <w:b/>
          <w:bCs/>
          <w:spacing w:val="10"/>
          <w:sz w:val="20"/>
          <w:szCs w:val="20"/>
        </w:rPr>
      </w:pPr>
      <w:r>
        <w:rPr>
          <w:b/>
          <w:bCs/>
          <w:spacing w:val="10"/>
          <w:sz w:val="20"/>
          <w:szCs w:val="20"/>
        </w:rPr>
        <w:t>名词释义</w:t>
      </w:r>
    </w:p>
    <w:p w14:paraId="216FE204" w14:textId="77777777" w:rsidR="007228C1" w:rsidRDefault="008B423D">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5C3E764A" w14:textId="77777777" w:rsidR="007228C1" w:rsidRDefault="008B423D">
      <w:pPr>
        <w:numPr>
          <w:ilvl w:val="0"/>
          <w:numId w:val="5"/>
        </w:numPr>
        <w:ind w:firstLineChars="200" w:firstLine="442"/>
        <w:rPr>
          <w:b/>
          <w:bCs/>
          <w:spacing w:val="10"/>
          <w:sz w:val="20"/>
          <w:szCs w:val="20"/>
        </w:rPr>
      </w:pPr>
      <w:r>
        <w:rPr>
          <w:rFonts w:hint="eastAsia"/>
          <w:b/>
          <w:bCs/>
          <w:spacing w:val="10"/>
          <w:sz w:val="20"/>
          <w:szCs w:val="20"/>
        </w:rPr>
        <w:t>销售机构</w:t>
      </w:r>
    </w:p>
    <w:p w14:paraId="634CCF9F" w14:textId="77777777" w:rsidR="007228C1" w:rsidRDefault="008B423D">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14C5DF54" w14:textId="77777777" w:rsidR="007228C1" w:rsidRDefault="008B423D">
      <w:pPr>
        <w:numPr>
          <w:ilvl w:val="0"/>
          <w:numId w:val="5"/>
        </w:numPr>
        <w:ind w:firstLineChars="200" w:firstLine="442"/>
        <w:rPr>
          <w:b/>
          <w:bCs/>
          <w:spacing w:val="10"/>
          <w:sz w:val="20"/>
          <w:szCs w:val="20"/>
        </w:rPr>
      </w:pPr>
      <w:r>
        <w:rPr>
          <w:b/>
          <w:bCs/>
          <w:spacing w:val="10"/>
          <w:sz w:val="20"/>
          <w:szCs w:val="20"/>
        </w:rPr>
        <w:t>甲方的权利与义务：</w:t>
      </w:r>
    </w:p>
    <w:p w14:paraId="061567D2" w14:textId="77777777" w:rsidR="007228C1" w:rsidRDefault="008B423D">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7E3C8FA5" w14:textId="77777777" w:rsidR="007228C1" w:rsidRDefault="008B423D">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45F9B28" w14:textId="77777777" w:rsidR="007228C1" w:rsidRDefault="008B423D">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12D0553B" w14:textId="77777777" w:rsidR="007228C1" w:rsidRDefault="008B423D">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D626A1C" w14:textId="77777777" w:rsidR="007228C1" w:rsidRDefault="008B423D">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238D9E6C" w14:textId="77777777" w:rsidR="007228C1" w:rsidRDefault="008B423D">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0B035E71" w14:textId="77777777" w:rsidR="007228C1" w:rsidRDefault="008B423D">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w:t>
      </w:r>
      <w:r>
        <w:rPr>
          <w:spacing w:val="10"/>
          <w:sz w:val="20"/>
          <w:szCs w:val="20"/>
        </w:rPr>
        <w:t>明书》的约定收取相应费用、业绩报酬。</w:t>
      </w:r>
    </w:p>
    <w:p w14:paraId="1B4ADA49" w14:textId="77777777" w:rsidR="007228C1" w:rsidRDefault="008B423D">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21A4F611" w14:textId="77777777" w:rsidR="007228C1" w:rsidRDefault="008B423D">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w:t>
      </w:r>
      <w:r>
        <w:rPr>
          <w:spacing w:val="10"/>
          <w:sz w:val="20"/>
          <w:szCs w:val="20"/>
        </w:rPr>
        <w:t>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5080B1F5" w14:textId="77777777" w:rsidR="007228C1" w:rsidRDefault="008B423D">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7437DE4A" w14:textId="77777777" w:rsidR="007228C1" w:rsidRDefault="008B423D">
      <w:pPr>
        <w:numPr>
          <w:ilvl w:val="0"/>
          <w:numId w:val="6"/>
        </w:numPr>
        <w:ind w:firstLineChars="200" w:firstLine="402"/>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1E57B85E" w14:textId="77777777" w:rsidR="007228C1" w:rsidRDefault="008B423D">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2648AED0" w14:textId="77777777" w:rsidR="007228C1" w:rsidRDefault="008B423D">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w:t>
      </w:r>
      <w:r>
        <w:rPr>
          <w:spacing w:val="10"/>
          <w:sz w:val="20"/>
          <w:szCs w:val="20"/>
        </w:rPr>
        <w:t>对理财产品资金享有优先受偿的权利。</w:t>
      </w:r>
    </w:p>
    <w:p w14:paraId="4D673209" w14:textId="77777777" w:rsidR="007228C1" w:rsidRDefault="008B423D">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0AF76042" w14:textId="77777777" w:rsidR="007228C1" w:rsidRDefault="008B423D">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4F348769" w14:textId="77777777" w:rsidR="007228C1" w:rsidRDefault="008B423D">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2D3BB344" w14:textId="77777777" w:rsidR="007228C1" w:rsidRDefault="008B423D">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w:t>
      </w:r>
      <w:r>
        <w:rPr>
          <w:rFonts w:hint="eastAsia"/>
          <w:b/>
          <w:bCs/>
          <w:spacing w:val="10"/>
          <w:sz w:val="20"/>
          <w:szCs w:val="20"/>
        </w:rPr>
        <w:t>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665915A9" w14:textId="77777777" w:rsidR="007228C1" w:rsidRDefault="008B423D">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2A0EC0F" w14:textId="77777777" w:rsidR="007228C1" w:rsidRDefault="008B423D">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728CB1FF" w14:textId="77777777" w:rsidR="007228C1" w:rsidRDefault="008B423D">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w:t>
      </w:r>
      <w:r>
        <w:rPr>
          <w:rFonts w:hint="eastAsia"/>
          <w:b/>
          <w:bCs/>
          <w:spacing w:val="10"/>
          <w:sz w:val="20"/>
          <w:szCs w:val="20"/>
        </w:rPr>
        <w:t>按照法律法规和监管要求履行相应程序，乙方认购或申购理财产品即视为同意该等安排。</w:t>
      </w:r>
    </w:p>
    <w:bookmarkEnd w:id="17"/>
    <w:p w14:paraId="1A956679" w14:textId="77777777" w:rsidR="007228C1" w:rsidRDefault="008B423D">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7088EA79" w14:textId="77777777" w:rsidR="007228C1" w:rsidRDefault="008B423D">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4F981ED7" w14:textId="77777777" w:rsidR="007228C1" w:rsidRDefault="008B423D">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19E3F3C0" w14:textId="77777777" w:rsidR="007228C1" w:rsidRDefault="008B423D">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590AD7D4" w14:textId="77777777" w:rsidR="007228C1" w:rsidRDefault="008B423D">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1006BA02" w14:textId="77777777" w:rsidR="007228C1" w:rsidRDefault="008B423D">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6D1A97F8" w14:textId="77777777" w:rsidR="007228C1" w:rsidRDefault="008B423D">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3044FC9B" w14:textId="77777777" w:rsidR="007228C1" w:rsidRDefault="008B423D">
      <w:pPr>
        <w:numPr>
          <w:ilvl w:val="0"/>
          <w:numId w:val="7"/>
        </w:numPr>
        <w:ind w:firstLine="340"/>
        <w:rPr>
          <w:spacing w:val="10"/>
          <w:sz w:val="20"/>
          <w:szCs w:val="20"/>
        </w:rPr>
      </w:pPr>
      <w:r>
        <w:rPr>
          <w:spacing w:val="10"/>
          <w:sz w:val="20"/>
          <w:szCs w:val="20"/>
        </w:rPr>
        <w:t>乙方能够自行识别、判断和承担理财产品的相关风险；</w:t>
      </w:r>
      <w:r>
        <w:rPr>
          <w:spacing w:val="10"/>
          <w:sz w:val="20"/>
          <w:szCs w:val="20"/>
        </w:rPr>
        <w:t>不存在法律法规、有权机关或主管机关禁止或限制购买理财产品的各种情形。乙方按其投资金额在本理财协议中享有相应的权利，承担相应的义务和风险。</w:t>
      </w:r>
    </w:p>
    <w:p w14:paraId="619B955B" w14:textId="77777777" w:rsidR="007228C1" w:rsidRDefault="008B423D">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28BDB61A" w14:textId="77777777" w:rsidR="007228C1" w:rsidRDefault="008B423D">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10FFC875" w14:textId="77777777" w:rsidR="007228C1" w:rsidRDefault="008B423D">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3FB9EF25" w14:textId="77777777" w:rsidR="007228C1" w:rsidRDefault="008B423D">
      <w:pPr>
        <w:numPr>
          <w:ilvl w:val="0"/>
          <w:numId w:val="7"/>
        </w:numPr>
        <w:ind w:firstLineChars="200" w:firstLine="440"/>
        <w:rPr>
          <w:spacing w:val="10"/>
          <w:sz w:val="20"/>
          <w:szCs w:val="20"/>
        </w:rPr>
      </w:pPr>
      <w:r>
        <w:rPr>
          <w:spacing w:val="10"/>
          <w:sz w:val="20"/>
          <w:szCs w:val="20"/>
        </w:rPr>
        <w:t>乙方保证执行及交付</w:t>
      </w:r>
      <w:r>
        <w:rPr>
          <w:spacing w:val="10"/>
          <w:sz w:val="20"/>
          <w:szCs w:val="20"/>
        </w:rPr>
        <w:t>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5B183296" w14:textId="77777777" w:rsidR="007228C1" w:rsidRDefault="008B423D">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w:t>
      </w:r>
      <w:r>
        <w:rPr>
          <w:b/>
          <w:spacing w:val="10"/>
          <w:sz w:val="20"/>
          <w:szCs w:val="22"/>
        </w:rPr>
        <w:t>户造成理财产品无法正常分配的，</w:t>
      </w:r>
      <w:r>
        <w:rPr>
          <w:rFonts w:hint="eastAsia"/>
          <w:b/>
          <w:spacing w:val="10"/>
          <w:sz w:val="20"/>
          <w:szCs w:val="22"/>
        </w:rPr>
        <w:t>乙方承担由此产生的损失</w:t>
      </w:r>
      <w:r>
        <w:rPr>
          <w:b/>
          <w:spacing w:val="10"/>
          <w:sz w:val="20"/>
          <w:szCs w:val="22"/>
        </w:rPr>
        <w:t>。</w:t>
      </w:r>
    </w:p>
    <w:p w14:paraId="4A597DA8" w14:textId="77777777" w:rsidR="007228C1" w:rsidRDefault="008B423D">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w:t>
      </w:r>
      <w:r>
        <w:rPr>
          <w:b/>
          <w:spacing w:val="10"/>
          <w:sz w:val="20"/>
          <w:szCs w:val="22"/>
        </w:rPr>
        <w:t>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663675B6" w14:textId="77777777" w:rsidR="007228C1" w:rsidRDefault="008B423D">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524EC598" w14:textId="77777777" w:rsidR="007228C1" w:rsidRDefault="008B423D">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32FF4970" w14:textId="77777777" w:rsidR="007228C1" w:rsidRDefault="008B423D">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06B112C6" w14:textId="77777777" w:rsidR="007228C1" w:rsidRDefault="008B423D">
      <w:pPr>
        <w:numPr>
          <w:ilvl w:val="0"/>
          <w:numId w:val="8"/>
        </w:numPr>
        <w:ind w:firstLineChars="200" w:firstLine="442"/>
        <w:rPr>
          <w:spacing w:val="10"/>
          <w:sz w:val="20"/>
          <w:szCs w:val="20"/>
        </w:rPr>
      </w:pPr>
      <w:r>
        <w:rPr>
          <w:b/>
          <w:bCs/>
          <w:spacing w:val="10"/>
          <w:sz w:val="20"/>
          <w:szCs w:val="20"/>
        </w:rPr>
        <w:t>乙方承诺，</w:t>
      </w:r>
      <w:r>
        <w:rPr>
          <w:b/>
          <w:bCs/>
          <w:spacing w:val="10"/>
          <w:sz w:val="20"/>
          <w:szCs w:val="20"/>
        </w:rPr>
        <w:t>未经产品管理人同意，乙方不向任何第三人转让、赠与本理财产品说明书或本理财产品说明书项下的任何权利、义务、利益、权益</w:t>
      </w:r>
      <w:r>
        <w:rPr>
          <w:spacing w:val="10"/>
          <w:sz w:val="20"/>
          <w:szCs w:val="20"/>
        </w:rPr>
        <w:t>。</w:t>
      </w:r>
      <w:bookmarkStart w:id="22" w:name="_Hlk41902728"/>
    </w:p>
    <w:p w14:paraId="5229FB8A" w14:textId="77777777" w:rsidR="007228C1" w:rsidRDefault="008B423D">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w:t>
      </w:r>
      <w:r>
        <w:rPr>
          <w:spacing w:val="10"/>
          <w:sz w:val="20"/>
          <w:szCs w:val="20"/>
        </w:rPr>
        <w:t>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2FA3AD28" w14:textId="77777777" w:rsidR="007228C1" w:rsidRDefault="008B423D">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w:t>
      </w:r>
      <w:r>
        <w:rPr>
          <w:spacing w:val="10"/>
          <w:sz w:val="20"/>
          <w:szCs w:val="20"/>
        </w:rPr>
        <w:t>由此产生的相关风险由其自身承担。</w:t>
      </w:r>
    </w:p>
    <w:p w14:paraId="3536B112" w14:textId="77777777" w:rsidR="007228C1" w:rsidRDefault="008B423D">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0E33DBB4" w14:textId="77777777" w:rsidR="007228C1" w:rsidRDefault="008B423D">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76804BE6" w14:textId="77777777" w:rsidR="007228C1" w:rsidRDefault="008B423D">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2ECA9A5" w14:textId="77777777" w:rsidR="007228C1" w:rsidRDefault="008B423D">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3C34F8C8" w14:textId="77777777" w:rsidR="007228C1" w:rsidRDefault="008B423D">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5738E254" w14:textId="77777777" w:rsidR="007228C1" w:rsidRDefault="008B423D">
      <w:pPr>
        <w:numPr>
          <w:ilvl w:val="0"/>
          <w:numId w:val="9"/>
        </w:numPr>
        <w:ind w:firstLine="340"/>
        <w:rPr>
          <w:spacing w:val="10"/>
          <w:sz w:val="20"/>
          <w:szCs w:val="20"/>
        </w:rPr>
      </w:pPr>
      <w:r>
        <w:rPr>
          <w:spacing w:val="10"/>
          <w:sz w:val="20"/>
          <w:szCs w:val="20"/>
        </w:rPr>
        <w:t>理财产品认购或申购：参照《投资者权益须知》约定。</w:t>
      </w:r>
    </w:p>
    <w:p w14:paraId="3C4F89E8" w14:textId="77777777" w:rsidR="007228C1" w:rsidRDefault="008B423D">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526A5781" w14:textId="77777777" w:rsidR="007228C1" w:rsidRDefault="008B423D">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54ABE1FA" w14:textId="77777777" w:rsidR="007228C1" w:rsidRDefault="008B423D">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61092629" w14:textId="77777777" w:rsidR="007228C1" w:rsidRDefault="008B423D">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3709D3C7" w14:textId="77777777" w:rsidR="007228C1" w:rsidRDefault="008B423D">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0F0E4DD1" w14:textId="77777777" w:rsidR="007228C1" w:rsidRDefault="008B423D">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32CBFA35" w14:textId="77777777" w:rsidR="007228C1" w:rsidRDefault="008B423D">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564A8E55" w14:textId="77777777" w:rsidR="007228C1" w:rsidRDefault="008B423D">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05432CDF" w14:textId="77777777" w:rsidR="007228C1" w:rsidRDefault="008B423D">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7D1D2041" w14:textId="77777777" w:rsidR="007228C1" w:rsidRDefault="008B423D">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616B551F" w14:textId="77777777" w:rsidR="007228C1" w:rsidRDefault="008B423D">
      <w:pPr>
        <w:pStyle w:val="10"/>
        <w:numPr>
          <w:ilvl w:val="0"/>
          <w:numId w:val="11"/>
        </w:numPr>
        <w:ind w:left="780"/>
        <w:rPr>
          <w:bCs/>
          <w:spacing w:val="10"/>
          <w:sz w:val="20"/>
          <w:szCs w:val="20"/>
        </w:rPr>
      </w:pPr>
      <w:r>
        <w:rPr>
          <w:bCs/>
          <w:spacing w:val="10"/>
          <w:sz w:val="20"/>
          <w:szCs w:val="20"/>
        </w:rPr>
        <w:t>因不可抗力因素导致本理财产品必须提前终止的；</w:t>
      </w:r>
    </w:p>
    <w:p w14:paraId="6DAD7BAC" w14:textId="77777777" w:rsidR="007228C1" w:rsidRDefault="008B423D">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336E6787" w14:textId="77777777" w:rsidR="007228C1" w:rsidRDefault="008B423D">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2D866B34" w14:textId="77777777" w:rsidR="007228C1" w:rsidRDefault="008B423D">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8CB7678" w14:textId="77777777" w:rsidR="007228C1" w:rsidRDefault="008B423D">
      <w:pPr>
        <w:pStyle w:val="10"/>
        <w:numPr>
          <w:ilvl w:val="0"/>
          <w:numId w:val="11"/>
        </w:numPr>
        <w:ind w:left="780"/>
        <w:rPr>
          <w:bCs/>
          <w:spacing w:val="10"/>
          <w:sz w:val="20"/>
          <w:szCs w:val="20"/>
        </w:rPr>
      </w:pPr>
      <w:r>
        <w:rPr>
          <w:bCs/>
          <w:spacing w:val="10"/>
          <w:sz w:val="20"/>
          <w:szCs w:val="20"/>
        </w:rPr>
        <w:t>理财产品所投资资产部分或全部提前偿付；</w:t>
      </w:r>
    </w:p>
    <w:p w14:paraId="508CA57F" w14:textId="77777777" w:rsidR="007228C1" w:rsidRDefault="008B423D">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3EB5D30D" w14:textId="77777777" w:rsidR="007228C1" w:rsidRDefault="008B423D">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606E725C" w14:textId="77777777" w:rsidR="007228C1" w:rsidRDefault="008B423D">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w:t>
      </w:r>
      <w:r>
        <w:rPr>
          <w:bCs/>
          <w:spacing w:val="10"/>
          <w:sz w:val="20"/>
          <w:szCs w:val="20"/>
        </w:rPr>
        <w:t>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08262F0F" w14:textId="77777777" w:rsidR="007228C1" w:rsidRDefault="008B423D">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3BE7FAB0" w14:textId="77777777" w:rsidR="007228C1" w:rsidRDefault="008B423D">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4D88FA2B" w14:textId="77777777" w:rsidR="007228C1" w:rsidRDefault="008B423D">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1AF2215C" w14:textId="77777777" w:rsidR="007228C1" w:rsidRDefault="008B423D">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55F682D0" w14:textId="77777777" w:rsidR="007228C1" w:rsidRDefault="008B423D">
      <w:pPr>
        <w:pStyle w:val="10"/>
        <w:numPr>
          <w:ilvl w:val="0"/>
          <w:numId w:val="12"/>
        </w:numPr>
        <w:ind w:left="780"/>
        <w:rPr>
          <w:bCs/>
          <w:spacing w:val="10"/>
          <w:sz w:val="20"/>
          <w:szCs w:val="20"/>
        </w:rPr>
      </w:pPr>
      <w:r>
        <w:rPr>
          <w:bCs/>
          <w:spacing w:val="10"/>
          <w:sz w:val="20"/>
          <w:szCs w:val="20"/>
        </w:rPr>
        <w:t>因资金在途等原因，导致未能及时收回资金；</w:t>
      </w:r>
    </w:p>
    <w:p w14:paraId="6D054ED6" w14:textId="77777777" w:rsidR="007228C1" w:rsidRDefault="008B423D">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7FAE4972" w14:textId="77777777" w:rsidR="007228C1" w:rsidRDefault="008B423D">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C449538" w14:textId="77777777" w:rsidR="007228C1" w:rsidRDefault="008B423D">
      <w:pPr>
        <w:pStyle w:val="10"/>
        <w:numPr>
          <w:ilvl w:val="0"/>
          <w:numId w:val="12"/>
        </w:numPr>
        <w:ind w:left="780"/>
        <w:rPr>
          <w:bCs/>
          <w:spacing w:val="10"/>
          <w:sz w:val="20"/>
          <w:szCs w:val="20"/>
        </w:rPr>
      </w:pPr>
      <w:r>
        <w:rPr>
          <w:bCs/>
          <w:spacing w:val="10"/>
          <w:sz w:val="20"/>
          <w:szCs w:val="20"/>
        </w:rPr>
        <w:t>其他管理人认为需要延期的情形；</w:t>
      </w:r>
    </w:p>
    <w:p w14:paraId="4E1D7A75" w14:textId="77777777" w:rsidR="007228C1" w:rsidRDefault="008B423D">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5BEFB0AC" w14:textId="77777777" w:rsidR="007228C1" w:rsidRDefault="008B423D">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15598BFB" w14:textId="77777777" w:rsidR="007228C1" w:rsidRDefault="008B423D">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w:t>
      </w:r>
      <w:r>
        <w:rPr>
          <w:rFonts w:hint="eastAsia"/>
          <w:b/>
          <w:spacing w:val="10"/>
          <w:sz w:val="20"/>
          <w:szCs w:val="20"/>
        </w:rPr>
        <w:t>者指定受益人以及继任管理人等相关主体办理相关变更手续。</w:t>
      </w:r>
    </w:p>
    <w:p w14:paraId="275BD954" w14:textId="77777777" w:rsidR="007228C1" w:rsidRDefault="008B423D">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09AD2763" w14:textId="77777777" w:rsidR="007228C1" w:rsidRDefault="008B423D">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52CCB976" w14:textId="77777777" w:rsidR="007228C1" w:rsidRDefault="008B423D">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w:t>
      </w:r>
      <w:r>
        <w:rPr>
          <w:rFonts w:hint="eastAsia"/>
          <w:b/>
          <w:spacing w:val="10"/>
          <w:sz w:val="20"/>
          <w:szCs w:val="20"/>
        </w:rPr>
        <w:t>及时根据法律法规的要求向乙方披露支付方案。</w:t>
      </w:r>
    </w:p>
    <w:p w14:paraId="12F3BC10" w14:textId="77777777" w:rsidR="007228C1" w:rsidRDefault="008B423D">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2B825D46" w14:textId="77777777" w:rsidR="007228C1" w:rsidRDefault="008B423D">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43410765" w14:textId="77777777" w:rsidR="007228C1" w:rsidRDefault="008B423D">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30C573AD" w14:textId="77777777" w:rsidR="007228C1" w:rsidRDefault="008B423D">
      <w:pPr>
        <w:numPr>
          <w:ilvl w:val="0"/>
          <w:numId w:val="13"/>
        </w:numPr>
        <w:ind w:firstLineChars="200" w:firstLine="442"/>
        <w:rPr>
          <w:b/>
          <w:spacing w:val="10"/>
          <w:sz w:val="20"/>
          <w:szCs w:val="20"/>
        </w:rPr>
      </w:pPr>
      <w:r>
        <w:rPr>
          <w:rFonts w:hint="eastAsia"/>
          <w:b/>
          <w:spacing w:val="10"/>
          <w:sz w:val="20"/>
          <w:szCs w:val="20"/>
        </w:rPr>
        <w:t>若因</w:t>
      </w:r>
      <w:r>
        <w:rPr>
          <w:b/>
          <w:spacing w:val="10"/>
          <w:sz w:val="20"/>
          <w:szCs w:val="20"/>
        </w:rPr>
        <w:t>市场情况等发生变化或是出于维护本理财产品正常运营或管理的需要，或基于甲方合理认定的其他情形，甲方有权单方面对本理财产品的销售文件进行修订，包括但不限于</w:t>
      </w:r>
      <w:r>
        <w:rPr>
          <w:rFonts w:hint="eastAsia"/>
          <w:b/>
          <w:spacing w:val="10"/>
          <w:sz w:val="20"/>
          <w:szCs w:val="20"/>
        </w:rPr>
        <w:t>对本理财产品</w:t>
      </w:r>
      <w:r>
        <w:rPr>
          <w:rFonts w:hint="eastAsia"/>
          <w:b/>
          <w:spacing w:val="10"/>
          <w:sz w:val="20"/>
          <w:szCs w:val="20"/>
        </w:rPr>
        <w:t>的投资范围、投资资产种类、投资比例或已约定的收费项目、条件、标准和方式等进行调整，</w:t>
      </w:r>
      <w:r>
        <w:rPr>
          <w:b/>
          <w:spacing w:val="10"/>
          <w:sz w:val="20"/>
          <w:szCs w:val="20"/>
        </w:rPr>
        <w:t>并进行信息披露</w:t>
      </w:r>
      <w:r>
        <w:rPr>
          <w:rFonts w:hint="eastAsia"/>
          <w:b/>
          <w:spacing w:val="10"/>
          <w:sz w:val="20"/>
          <w:szCs w:val="20"/>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21F3805A" w14:textId="77777777" w:rsidR="007228C1" w:rsidRDefault="008B423D">
      <w:pPr>
        <w:numPr>
          <w:ilvl w:val="0"/>
          <w:numId w:val="13"/>
        </w:numPr>
        <w:ind w:firstLineChars="200" w:firstLine="440"/>
        <w:rPr>
          <w:bCs/>
          <w:spacing w:val="10"/>
          <w:sz w:val="20"/>
          <w:szCs w:val="20"/>
        </w:rPr>
      </w:pPr>
      <w:r>
        <w:rPr>
          <w:bCs/>
          <w:spacing w:val="10"/>
          <w:sz w:val="20"/>
          <w:szCs w:val="20"/>
        </w:rPr>
        <w:t>免责条款</w:t>
      </w:r>
    </w:p>
    <w:p w14:paraId="158FC1A2" w14:textId="77777777" w:rsidR="007228C1" w:rsidRDefault="008B423D">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w:t>
      </w:r>
      <w:r>
        <w:rPr>
          <w:bCs/>
          <w:spacing w:val="10"/>
          <w:sz w:val="20"/>
          <w:szCs w:val="20"/>
        </w:rPr>
        <w:t>成为不合法，甲方有权在任何时间向乙方发出通知提前终止受影响的理财产品，在此情况下甲方无需对乙方因提前终止投资而造成的任何损失承担任何责任。</w:t>
      </w:r>
    </w:p>
    <w:p w14:paraId="47041B86" w14:textId="77777777" w:rsidR="007228C1" w:rsidRDefault="008B423D">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w:t>
      </w:r>
      <w:r>
        <w:rPr>
          <w:bCs/>
          <w:spacing w:val="10"/>
          <w:sz w:val="20"/>
          <w:szCs w:val="20"/>
        </w:rPr>
        <w:t>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03A0BBF3" w14:textId="77777777" w:rsidR="007228C1" w:rsidRDefault="008B423D">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48570BB4" w14:textId="77777777" w:rsidR="007228C1" w:rsidRDefault="008B423D">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4E68DB98" w14:textId="77777777" w:rsidR="007228C1" w:rsidRDefault="008B423D">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27BD42F1" w14:textId="77777777" w:rsidR="007228C1" w:rsidRDefault="008B423D">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22BDE088" w14:textId="77777777" w:rsidR="007228C1" w:rsidRDefault="008B423D">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695B9819" w14:textId="77777777" w:rsidR="007228C1" w:rsidRDefault="008B423D">
      <w:pPr>
        <w:numPr>
          <w:ilvl w:val="0"/>
          <w:numId w:val="13"/>
        </w:numPr>
        <w:ind w:firstLineChars="200" w:firstLine="440"/>
        <w:rPr>
          <w:spacing w:val="10"/>
          <w:sz w:val="20"/>
          <w:szCs w:val="20"/>
        </w:rPr>
      </w:pPr>
      <w:r>
        <w:rPr>
          <w:bCs/>
          <w:spacing w:val="10"/>
          <w:sz w:val="20"/>
          <w:szCs w:val="20"/>
        </w:rPr>
        <w:t>抵销</w:t>
      </w:r>
    </w:p>
    <w:p w14:paraId="79E6D6FD" w14:textId="77777777" w:rsidR="007228C1" w:rsidRDefault="008B423D">
      <w:pPr>
        <w:pStyle w:val="10"/>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27D294EF" w14:textId="77777777" w:rsidR="007228C1" w:rsidRDefault="008B423D">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54A85363" w14:textId="77777777" w:rsidR="007228C1" w:rsidRDefault="008B423D">
      <w:pPr>
        <w:numPr>
          <w:ilvl w:val="0"/>
          <w:numId w:val="13"/>
        </w:numPr>
        <w:ind w:firstLineChars="200" w:firstLine="440"/>
        <w:rPr>
          <w:spacing w:val="10"/>
          <w:sz w:val="20"/>
          <w:szCs w:val="20"/>
        </w:rPr>
      </w:pPr>
      <w:r>
        <w:rPr>
          <w:bCs/>
          <w:spacing w:val="10"/>
          <w:sz w:val="20"/>
          <w:szCs w:val="20"/>
        </w:rPr>
        <w:t>弃权</w:t>
      </w:r>
    </w:p>
    <w:p w14:paraId="5893F081" w14:textId="77777777" w:rsidR="007228C1" w:rsidRDefault="008B423D">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7E6226" w14:textId="77777777" w:rsidR="007228C1" w:rsidRDefault="008B423D">
      <w:pPr>
        <w:numPr>
          <w:ilvl w:val="0"/>
          <w:numId w:val="13"/>
        </w:numPr>
        <w:ind w:firstLineChars="200" w:firstLine="440"/>
        <w:rPr>
          <w:spacing w:val="10"/>
          <w:sz w:val="20"/>
          <w:szCs w:val="20"/>
        </w:rPr>
      </w:pPr>
      <w:r>
        <w:rPr>
          <w:spacing w:val="10"/>
          <w:sz w:val="20"/>
          <w:szCs w:val="20"/>
        </w:rPr>
        <w:t>可分割性</w:t>
      </w:r>
    </w:p>
    <w:p w14:paraId="11882B1E" w14:textId="77777777" w:rsidR="007228C1" w:rsidRDefault="008B423D">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2FEAD32C" w14:textId="77777777" w:rsidR="007228C1" w:rsidRDefault="008B423D">
      <w:pPr>
        <w:numPr>
          <w:ilvl w:val="0"/>
          <w:numId w:val="13"/>
        </w:numPr>
        <w:ind w:firstLineChars="200" w:firstLine="440"/>
        <w:rPr>
          <w:spacing w:val="10"/>
          <w:sz w:val="20"/>
          <w:szCs w:val="20"/>
        </w:rPr>
      </w:pPr>
      <w:r>
        <w:rPr>
          <w:spacing w:val="10"/>
          <w:sz w:val="20"/>
          <w:szCs w:val="20"/>
        </w:rPr>
        <w:t>税收条款</w:t>
      </w:r>
    </w:p>
    <w:p w14:paraId="5EB41E71" w14:textId="77777777" w:rsidR="007228C1" w:rsidRDefault="008B423D">
      <w:pPr>
        <w:ind w:firstLineChars="200" w:firstLine="440"/>
        <w:rPr>
          <w:spacing w:val="10"/>
          <w:sz w:val="20"/>
          <w:szCs w:val="20"/>
        </w:rPr>
      </w:pPr>
      <w:r>
        <w:rPr>
          <w:spacing w:val="10"/>
          <w:sz w:val="20"/>
          <w:szCs w:val="20"/>
        </w:rPr>
        <w:t>以对应期次的《理财产品说明书》约定的税务处理方式为准，如遇国家政策调整则相应执</w:t>
      </w:r>
      <w:r>
        <w:rPr>
          <w:spacing w:val="10"/>
          <w:sz w:val="20"/>
          <w:szCs w:val="20"/>
        </w:rPr>
        <w:t>行最新政策。</w:t>
      </w:r>
    </w:p>
    <w:p w14:paraId="3F00BEA0" w14:textId="77777777" w:rsidR="007228C1" w:rsidRDefault="008B423D">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A9DD758" w14:textId="77777777" w:rsidR="007228C1" w:rsidRDefault="008B423D">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345B0EEE" w14:textId="77777777" w:rsidR="007228C1" w:rsidRDefault="008B423D">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245890A3" w14:textId="77777777" w:rsidR="007228C1" w:rsidRDefault="008B423D">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74B17E53" w14:textId="77777777" w:rsidR="007228C1" w:rsidRDefault="008B423D">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w:t>
      </w:r>
      <w:r>
        <w:rPr>
          <w:rFonts w:hint="eastAsia"/>
          <w:spacing w:val="10"/>
          <w:sz w:val="20"/>
          <w:szCs w:val="20"/>
        </w:rPr>
        <w:t>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5848306F" w14:textId="77777777" w:rsidR="007228C1" w:rsidRDefault="008B423D">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476FCF2" w14:textId="77777777" w:rsidR="007228C1" w:rsidRDefault="008B423D">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43D2BBF6" w14:textId="77777777" w:rsidR="007228C1" w:rsidRDefault="008B423D">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0681A35D" w14:textId="77777777" w:rsidR="007228C1" w:rsidRDefault="008B423D">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w:t>
      </w:r>
      <w:r>
        <w:rPr>
          <w:b/>
          <w:spacing w:val="10"/>
          <w:sz w:val="20"/>
          <w:szCs w:val="20"/>
        </w:rPr>
        <w:t>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3664D5D7" w14:textId="77777777" w:rsidR="007228C1" w:rsidRDefault="008B423D">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w:t>
      </w:r>
      <w:r>
        <w:rPr>
          <w:b/>
          <w:spacing w:val="10"/>
          <w:sz w:val="20"/>
          <w:szCs w:val="20"/>
        </w:rPr>
        <w:t>划款操作规则。</w:t>
      </w:r>
    </w:p>
    <w:p w14:paraId="556C75A4" w14:textId="77777777" w:rsidR="007228C1" w:rsidRDefault="008B423D">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3CE9FAEE" w14:textId="77777777" w:rsidR="007228C1" w:rsidRDefault="007228C1">
      <w:pPr>
        <w:ind w:firstLineChars="200" w:firstLine="440"/>
        <w:rPr>
          <w:spacing w:val="10"/>
          <w:sz w:val="20"/>
          <w:szCs w:val="20"/>
        </w:rPr>
      </w:pPr>
    </w:p>
    <w:p w14:paraId="774C5AF1" w14:textId="77777777" w:rsidR="007228C1" w:rsidRDefault="007228C1">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7228C1" w14:paraId="58097FAD" w14:textId="77777777">
        <w:tc>
          <w:tcPr>
            <w:tcW w:w="5341" w:type="dxa"/>
          </w:tcPr>
          <w:p w14:paraId="4749D1A0" w14:textId="77777777" w:rsidR="007228C1" w:rsidRDefault="008B423D">
            <w:pPr>
              <w:rPr>
                <w:spacing w:val="10"/>
                <w:sz w:val="20"/>
                <w:szCs w:val="20"/>
              </w:rPr>
            </w:pPr>
            <w:r>
              <w:rPr>
                <w:spacing w:val="10"/>
                <w:sz w:val="20"/>
                <w:szCs w:val="20"/>
              </w:rPr>
              <w:t>个人投资者（如适用）：</w:t>
            </w:r>
          </w:p>
        </w:tc>
        <w:tc>
          <w:tcPr>
            <w:tcW w:w="5341" w:type="dxa"/>
          </w:tcPr>
          <w:p w14:paraId="75FBCD8D" w14:textId="77777777" w:rsidR="007228C1" w:rsidRDefault="008B423D">
            <w:pPr>
              <w:rPr>
                <w:spacing w:val="10"/>
                <w:sz w:val="20"/>
                <w:szCs w:val="20"/>
              </w:rPr>
            </w:pPr>
            <w:r>
              <w:rPr>
                <w:spacing w:val="10"/>
                <w:sz w:val="20"/>
                <w:szCs w:val="20"/>
              </w:rPr>
              <w:t>机构投资者（如适用）：</w:t>
            </w:r>
          </w:p>
        </w:tc>
      </w:tr>
      <w:tr w:rsidR="007228C1" w14:paraId="7AC3B0D2" w14:textId="77777777">
        <w:tc>
          <w:tcPr>
            <w:tcW w:w="5341" w:type="dxa"/>
          </w:tcPr>
          <w:p w14:paraId="7F73E796" w14:textId="77777777" w:rsidR="007228C1" w:rsidRDefault="007228C1">
            <w:pPr>
              <w:ind w:firstLineChars="200" w:firstLine="440"/>
              <w:rPr>
                <w:spacing w:val="10"/>
                <w:sz w:val="20"/>
                <w:szCs w:val="20"/>
              </w:rPr>
            </w:pPr>
          </w:p>
          <w:p w14:paraId="1C885A3C" w14:textId="77777777" w:rsidR="007228C1" w:rsidRDefault="008B423D">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35FA6346" w14:textId="77777777" w:rsidR="007228C1" w:rsidRDefault="007228C1">
            <w:pPr>
              <w:ind w:firstLineChars="400" w:firstLine="880"/>
              <w:rPr>
                <w:spacing w:val="10"/>
                <w:sz w:val="20"/>
                <w:szCs w:val="20"/>
              </w:rPr>
            </w:pPr>
          </w:p>
          <w:p w14:paraId="61BF461A" w14:textId="77777777" w:rsidR="007228C1" w:rsidRDefault="007228C1">
            <w:pPr>
              <w:ind w:firstLineChars="500" w:firstLine="1100"/>
              <w:rPr>
                <w:spacing w:val="10"/>
                <w:sz w:val="20"/>
                <w:szCs w:val="20"/>
              </w:rPr>
            </w:pPr>
          </w:p>
          <w:p w14:paraId="01F12CD7" w14:textId="77777777" w:rsidR="007228C1" w:rsidRDefault="008B423D">
            <w:pPr>
              <w:ind w:firstLineChars="500" w:firstLine="1100"/>
              <w:rPr>
                <w:spacing w:val="10"/>
                <w:sz w:val="20"/>
                <w:szCs w:val="20"/>
              </w:rPr>
            </w:pPr>
            <w:r>
              <w:rPr>
                <w:spacing w:val="10"/>
                <w:sz w:val="20"/>
                <w:szCs w:val="20"/>
              </w:rPr>
              <w:t>年月日</w:t>
            </w:r>
          </w:p>
        </w:tc>
        <w:tc>
          <w:tcPr>
            <w:tcW w:w="5341" w:type="dxa"/>
          </w:tcPr>
          <w:p w14:paraId="1C51DBF8" w14:textId="77777777" w:rsidR="007228C1" w:rsidRDefault="007228C1">
            <w:pPr>
              <w:ind w:firstLineChars="200" w:firstLine="440"/>
              <w:rPr>
                <w:spacing w:val="10"/>
                <w:sz w:val="20"/>
                <w:szCs w:val="20"/>
              </w:rPr>
            </w:pPr>
          </w:p>
          <w:p w14:paraId="0B7084DA" w14:textId="77777777" w:rsidR="007228C1" w:rsidRDefault="008B423D">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76A55BCF" w14:textId="77777777" w:rsidR="007228C1" w:rsidRDefault="007228C1">
            <w:pPr>
              <w:rPr>
                <w:spacing w:val="10"/>
                <w:sz w:val="20"/>
                <w:szCs w:val="20"/>
              </w:rPr>
            </w:pPr>
          </w:p>
          <w:p w14:paraId="40C01261" w14:textId="77777777" w:rsidR="007228C1" w:rsidRDefault="007228C1">
            <w:pPr>
              <w:rPr>
                <w:spacing w:val="10"/>
                <w:sz w:val="20"/>
                <w:szCs w:val="20"/>
              </w:rPr>
            </w:pPr>
          </w:p>
          <w:p w14:paraId="238DE895" w14:textId="77777777" w:rsidR="007228C1" w:rsidRDefault="008B423D">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162071B3" w14:textId="77777777" w:rsidR="007228C1" w:rsidRDefault="007228C1">
            <w:pPr>
              <w:ind w:firstLineChars="400" w:firstLine="880"/>
              <w:rPr>
                <w:spacing w:val="10"/>
                <w:sz w:val="20"/>
                <w:szCs w:val="20"/>
              </w:rPr>
            </w:pPr>
          </w:p>
          <w:p w14:paraId="75B6A422" w14:textId="77777777" w:rsidR="007228C1" w:rsidRDefault="008B423D">
            <w:pPr>
              <w:ind w:firstLineChars="400" w:firstLine="880"/>
              <w:rPr>
                <w:spacing w:val="10"/>
                <w:sz w:val="20"/>
                <w:szCs w:val="20"/>
              </w:rPr>
            </w:pPr>
            <w:r>
              <w:rPr>
                <w:spacing w:val="10"/>
                <w:sz w:val="20"/>
                <w:szCs w:val="20"/>
              </w:rPr>
              <w:t>年月日</w:t>
            </w:r>
          </w:p>
        </w:tc>
      </w:tr>
      <w:bookmarkEnd w:id="31"/>
    </w:tbl>
    <w:p w14:paraId="40636DE3" w14:textId="77777777" w:rsidR="007228C1" w:rsidRDefault="007228C1">
      <w:pPr>
        <w:rPr>
          <w:sz w:val="22"/>
          <w:szCs w:val="22"/>
        </w:rPr>
      </w:pPr>
    </w:p>
    <w:p w14:paraId="417B7235" w14:textId="77777777" w:rsidR="007228C1" w:rsidRDefault="007228C1">
      <w:pPr>
        <w:pStyle w:val="a0"/>
        <w:ind w:firstLine="440"/>
        <w:rPr>
          <w:sz w:val="22"/>
          <w:szCs w:val="22"/>
        </w:rPr>
      </w:pPr>
    </w:p>
    <w:p w14:paraId="37D945CE" w14:textId="77777777" w:rsidR="007228C1" w:rsidRDefault="007228C1">
      <w:pPr>
        <w:pStyle w:val="a0"/>
        <w:ind w:firstLine="440"/>
        <w:rPr>
          <w:sz w:val="22"/>
          <w:szCs w:val="22"/>
        </w:rPr>
      </w:pPr>
    </w:p>
    <w:p w14:paraId="2557AE8E" w14:textId="77777777" w:rsidR="007228C1" w:rsidRDefault="007228C1">
      <w:pPr>
        <w:pStyle w:val="a0"/>
        <w:ind w:firstLine="440"/>
        <w:rPr>
          <w:sz w:val="22"/>
          <w:szCs w:val="22"/>
        </w:rPr>
      </w:pPr>
    </w:p>
    <w:p w14:paraId="2FD03256" w14:textId="77777777" w:rsidR="007228C1" w:rsidRDefault="007228C1">
      <w:pPr>
        <w:pStyle w:val="a0"/>
        <w:ind w:firstLine="440"/>
        <w:rPr>
          <w:sz w:val="22"/>
          <w:szCs w:val="22"/>
        </w:rPr>
      </w:pPr>
    </w:p>
    <w:p w14:paraId="6127E249" w14:textId="77777777" w:rsidR="007228C1" w:rsidRDefault="007228C1">
      <w:pPr>
        <w:pStyle w:val="a0"/>
        <w:ind w:firstLine="440"/>
        <w:rPr>
          <w:sz w:val="22"/>
          <w:szCs w:val="22"/>
        </w:rPr>
      </w:pPr>
    </w:p>
    <w:p w14:paraId="5220EA94" w14:textId="77777777" w:rsidR="007228C1" w:rsidRDefault="007228C1">
      <w:pPr>
        <w:pStyle w:val="a0"/>
        <w:ind w:firstLine="440"/>
        <w:rPr>
          <w:sz w:val="22"/>
          <w:szCs w:val="22"/>
        </w:rPr>
      </w:pPr>
    </w:p>
    <w:p w14:paraId="53D4045C" w14:textId="77777777" w:rsidR="007228C1" w:rsidRDefault="007228C1">
      <w:pPr>
        <w:pStyle w:val="a0"/>
        <w:ind w:firstLine="440"/>
        <w:rPr>
          <w:sz w:val="22"/>
          <w:szCs w:val="22"/>
        </w:rPr>
      </w:pPr>
    </w:p>
    <w:p w14:paraId="07B81A09" w14:textId="77777777" w:rsidR="007228C1" w:rsidRDefault="007228C1">
      <w:pPr>
        <w:pStyle w:val="a0"/>
        <w:ind w:firstLine="440"/>
        <w:rPr>
          <w:sz w:val="22"/>
          <w:szCs w:val="22"/>
        </w:rPr>
      </w:pPr>
    </w:p>
    <w:p w14:paraId="3CCB923A" w14:textId="77777777" w:rsidR="007228C1" w:rsidRDefault="007228C1">
      <w:pPr>
        <w:pStyle w:val="a0"/>
        <w:ind w:firstLine="440"/>
        <w:rPr>
          <w:sz w:val="22"/>
          <w:szCs w:val="22"/>
        </w:rPr>
      </w:pPr>
    </w:p>
    <w:p w14:paraId="68B5956F" w14:textId="77777777" w:rsidR="007228C1" w:rsidRDefault="007228C1">
      <w:pPr>
        <w:pStyle w:val="a0"/>
        <w:ind w:firstLine="440"/>
        <w:rPr>
          <w:sz w:val="22"/>
          <w:szCs w:val="22"/>
        </w:rPr>
      </w:pPr>
    </w:p>
    <w:p w14:paraId="19329F6A" w14:textId="77777777" w:rsidR="007228C1" w:rsidRDefault="007228C1">
      <w:pPr>
        <w:pStyle w:val="a0"/>
        <w:ind w:firstLine="440"/>
        <w:rPr>
          <w:sz w:val="22"/>
          <w:szCs w:val="22"/>
        </w:rPr>
      </w:pPr>
    </w:p>
    <w:p w14:paraId="461A620D" w14:textId="77777777" w:rsidR="007228C1" w:rsidRDefault="007228C1">
      <w:pPr>
        <w:pStyle w:val="a0"/>
        <w:ind w:firstLine="440"/>
        <w:rPr>
          <w:sz w:val="22"/>
          <w:szCs w:val="22"/>
        </w:rPr>
      </w:pPr>
    </w:p>
    <w:p w14:paraId="7D305D91" w14:textId="77777777" w:rsidR="007228C1" w:rsidRDefault="007228C1">
      <w:pPr>
        <w:pStyle w:val="a0"/>
        <w:ind w:firstLine="440"/>
        <w:rPr>
          <w:sz w:val="22"/>
          <w:szCs w:val="22"/>
        </w:rPr>
      </w:pPr>
    </w:p>
    <w:p w14:paraId="43828381" w14:textId="77777777" w:rsidR="007228C1" w:rsidRDefault="007228C1">
      <w:pPr>
        <w:pStyle w:val="a0"/>
        <w:ind w:firstLine="440"/>
        <w:rPr>
          <w:sz w:val="22"/>
          <w:szCs w:val="22"/>
        </w:rPr>
      </w:pPr>
    </w:p>
    <w:p w14:paraId="00FBC136" w14:textId="77777777" w:rsidR="007228C1" w:rsidRDefault="007228C1">
      <w:pPr>
        <w:pStyle w:val="a0"/>
        <w:ind w:firstLine="440"/>
        <w:rPr>
          <w:sz w:val="22"/>
          <w:szCs w:val="22"/>
        </w:rPr>
      </w:pPr>
    </w:p>
    <w:p w14:paraId="552FE3D2" w14:textId="77777777" w:rsidR="007228C1" w:rsidRDefault="007228C1">
      <w:pPr>
        <w:pStyle w:val="a0"/>
        <w:ind w:firstLine="440"/>
        <w:rPr>
          <w:sz w:val="22"/>
          <w:szCs w:val="22"/>
        </w:rPr>
      </w:pPr>
    </w:p>
    <w:p w14:paraId="2943D9C4" w14:textId="77777777" w:rsidR="007228C1" w:rsidRDefault="007228C1">
      <w:pPr>
        <w:pStyle w:val="a0"/>
        <w:ind w:firstLine="440"/>
        <w:rPr>
          <w:sz w:val="22"/>
          <w:szCs w:val="22"/>
        </w:rPr>
      </w:pPr>
    </w:p>
    <w:p w14:paraId="2B05F76A" w14:textId="77777777" w:rsidR="007228C1" w:rsidRDefault="008B423D">
      <w:pPr>
        <w:jc w:val="center"/>
        <w:rPr>
          <w:rFonts w:ascii="黑体" w:eastAsia="黑体" w:hAnsi="宋体"/>
          <w:b/>
          <w:bCs/>
          <w:sz w:val="24"/>
          <w:szCs w:val="24"/>
        </w:rPr>
      </w:pPr>
      <w:r>
        <w:rPr>
          <w:rFonts w:ascii="黑体" w:eastAsia="黑体" w:hAnsi="宋体" w:hint="eastAsia"/>
          <w:b/>
          <w:bCs/>
          <w:sz w:val="24"/>
          <w:szCs w:val="24"/>
        </w:rPr>
        <w:t>投资者权益须知</w:t>
      </w:r>
    </w:p>
    <w:p w14:paraId="1EF174BA" w14:textId="77777777" w:rsidR="007228C1" w:rsidRDefault="007228C1">
      <w:pPr>
        <w:ind w:firstLineChars="200" w:firstLine="482"/>
        <w:jc w:val="center"/>
        <w:rPr>
          <w:rFonts w:ascii="宋体" w:hAnsi="宋体"/>
          <w:b/>
          <w:i/>
          <w:sz w:val="24"/>
          <w:szCs w:val="24"/>
          <w:u w:val="single"/>
        </w:rPr>
      </w:pPr>
    </w:p>
    <w:p w14:paraId="3017C788" w14:textId="77777777" w:rsidR="007228C1" w:rsidRDefault="008B423D">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1B4E7C95" w14:textId="77777777" w:rsidR="007228C1" w:rsidRDefault="008B423D">
      <w:pPr>
        <w:pStyle w:val="a6"/>
        <w:spacing w:before="0" w:after="0" w:line="240" w:lineRule="auto"/>
        <w:ind w:firstLine="0"/>
        <w:rPr>
          <w:spacing w:val="10"/>
          <w:kern w:val="2"/>
        </w:rPr>
      </w:pPr>
      <w:r>
        <w:rPr>
          <w:rFonts w:hint="eastAsia"/>
          <w:spacing w:val="10"/>
          <w:kern w:val="2"/>
        </w:rPr>
        <w:t>尊敬的投资者：</w:t>
      </w:r>
    </w:p>
    <w:p w14:paraId="2D0E213E" w14:textId="77777777" w:rsidR="007228C1" w:rsidRDefault="008B423D">
      <w:pPr>
        <w:pStyle w:val="a6"/>
        <w:spacing w:before="0" w:after="0" w:line="240" w:lineRule="auto"/>
        <w:ind w:firstLineChars="200" w:firstLine="520"/>
        <w:jc w:val="both"/>
        <w:rPr>
          <w:spacing w:val="10"/>
          <w:kern w:val="2"/>
        </w:rPr>
      </w:pPr>
      <w:r>
        <w:rPr>
          <w:rFonts w:hint="eastAsia"/>
          <w:spacing w:val="10"/>
          <w:kern w:val="2"/>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121E1B72" w14:textId="77777777" w:rsidR="007228C1" w:rsidRDefault="008B423D">
      <w:pPr>
        <w:pStyle w:val="a6"/>
        <w:spacing w:before="0" w:after="0" w:line="240" w:lineRule="auto"/>
        <w:ind w:firstLineChars="200" w:firstLine="520"/>
        <w:jc w:val="both"/>
        <w:rPr>
          <w:spacing w:val="10"/>
          <w:kern w:val="2"/>
        </w:rPr>
      </w:pPr>
      <w:r>
        <w:rPr>
          <w:rFonts w:hint="eastAsia"/>
          <w:spacing w:val="10"/>
          <w:kern w:val="2"/>
        </w:rPr>
        <w:t>本理财产品指由南银理财作为管理人发行，并由</w:t>
      </w:r>
      <w:permStart w:id="1262101924" w:edGrp="everyone"/>
      <w:r>
        <w:rPr>
          <w:rFonts w:hint="eastAsia"/>
          <w:spacing w:val="10"/>
          <w:kern w:val="2"/>
        </w:rPr>
        <w:t xml:space="preserve"> </w:t>
      </w:r>
      <w:r>
        <w:rPr>
          <w:rFonts w:hint="eastAsia"/>
          <w:spacing w:val="10"/>
        </w:rPr>
        <w:t>石嘴山银行股份有限公司</w:t>
      </w:r>
      <w:r>
        <w:rPr>
          <w:rFonts w:hint="eastAsia"/>
          <w:spacing w:val="10"/>
          <w:kern w:val="2"/>
        </w:rPr>
        <w:t xml:space="preserve"> </w:t>
      </w:r>
      <w:permEnd w:id="1262101924"/>
      <w:r>
        <w:rPr>
          <w:rFonts w:hint="eastAsia"/>
          <w:spacing w:val="10"/>
          <w:kern w:val="2"/>
        </w:rPr>
        <w:t>（以下简称“销售机构”）销售的理财产品。</w:t>
      </w:r>
    </w:p>
    <w:p w14:paraId="280FA8AD" w14:textId="77777777" w:rsidR="007228C1" w:rsidRDefault="008B423D">
      <w:pPr>
        <w:pStyle w:val="a6"/>
        <w:spacing w:line="240" w:lineRule="auto"/>
        <w:ind w:left="341" w:firstLine="0"/>
        <w:jc w:val="both"/>
        <w:rPr>
          <w:b/>
          <w:spacing w:val="10"/>
          <w:kern w:val="2"/>
        </w:rPr>
      </w:pPr>
      <w:r>
        <w:rPr>
          <w:rFonts w:hint="eastAsia"/>
          <w:b/>
          <w:spacing w:val="10"/>
          <w:kern w:val="2"/>
        </w:rPr>
        <w:t>第一条</w:t>
      </w:r>
      <w:r>
        <w:rPr>
          <w:rFonts w:hint="eastAsia"/>
          <w:b/>
          <w:spacing w:val="10"/>
          <w:kern w:val="2"/>
        </w:rPr>
        <w:t xml:space="preserve"> </w:t>
      </w:r>
      <w:r>
        <w:rPr>
          <w:rFonts w:hint="eastAsia"/>
          <w:b/>
          <w:spacing w:val="10"/>
          <w:kern w:val="2"/>
        </w:rPr>
        <w:t>理财产品购买流程说明</w:t>
      </w:r>
    </w:p>
    <w:p w14:paraId="7BC6BA87" w14:textId="77777777" w:rsidR="007228C1" w:rsidRDefault="008B423D">
      <w:pPr>
        <w:pStyle w:val="a6"/>
        <w:spacing w:before="0" w:after="0" w:line="240" w:lineRule="auto"/>
        <w:ind w:firstLineChars="200" w:firstLine="520"/>
        <w:jc w:val="both"/>
        <w:rPr>
          <w:bCs/>
          <w:spacing w:val="10"/>
          <w:kern w:val="2"/>
        </w:rPr>
      </w:pPr>
      <w:r>
        <w:rPr>
          <w:rFonts w:hint="eastAsia"/>
          <w:bCs/>
          <w:spacing w:val="10"/>
          <w:kern w:val="2"/>
        </w:rPr>
        <w:t>（一）首次在销售机构购买理财产品的投资者应按</w:t>
      </w:r>
      <w:r>
        <w:rPr>
          <w:rFonts w:hint="eastAsia"/>
          <w:bCs/>
          <w:spacing w:val="10"/>
          <w:kern w:val="2"/>
        </w:rPr>
        <w:t>销售机构的要求明确授权指定账户，用于本理财产品的理财资金划转及理财收益、到期清算分配资金的分配，提供并确认正确的联系方式。</w:t>
      </w:r>
    </w:p>
    <w:p w14:paraId="11EECA67" w14:textId="77777777" w:rsidR="007228C1" w:rsidRDefault="008B423D">
      <w:pPr>
        <w:pStyle w:val="a6"/>
        <w:spacing w:before="0" w:after="0" w:line="240" w:lineRule="auto"/>
        <w:ind w:firstLineChars="199" w:firstLine="517"/>
        <w:jc w:val="both"/>
        <w:rPr>
          <w:bCs/>
          <w:spacing w:val="10"/>
          <w:kern w:val="2"/>
        </w:rPr>
      </w:pPr>
      <w:r>
        <w:rPr>
          <w:rFonts w:hint="eastAsia"/>
          <w:bCs/>
          <w:spacing w:val="10"/>
          <w:kern w:val="2"/>
        </w:rPr>
        <w:t>（二）在销售机构购买理财产品的个人投资者应按销售机构的要求进行投资者风险承受能力评估，并确认风险承受能力等级不低于本理财产品风险等级。</w:t>
      </w:r>
    </w:p>
    <w:p w14:paraId="10D7808D" w14:textId="77777777" w:rsidR="007228C1" w:rsidRDefault="008B423D">
      <w:pPr>
        <w:pStyle w:val="a6"/>
        <w:spacing w:before="0" w:after="0" w:line="240" w:lineRule="auto"/>
        <w:ind w:firstLineChars="199" w:firstLine="517"/>
        <w:jc w:val="both"/>
        <w:rPr>
          <w:bCs/>
          <w:spacing w:val="10"/>
          <w:kern w:val="2"/>
        </w:rPr>
      </w:pPr>
      <w:r>
        <w:rPr>
          <w:rFonts w:hint="eastAsia"/>
          <w:bCs/>
          <w:spacing w:val="10"/>
          <w:kern w:val="2"/>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kern w:val="2"/>
        </w:rPr>
        <w:t>理财产品投资协议书》</w:t>
      </w:r>
      <w:r>
        <w:rPr>
          <w:rFonts w:hint="eastAsia"/>
          <w:bCs/>
          <w:spacing w:val="10"/>
          <w:kern w:val="2"/>
        </w:rPr>
        <w:t>等，理解并确认理财产品条款及产品风险。</w:t>
      </w:r>
    </w:p>
    <w:p w14:paraId="366B5E5D" w14:textId="77777777" w:rsidR="007228C1" w:rsidRDefault="008B423D">
      <w:pPr>
        <w:pStyle w:val="a6"/>
        <w:spacing w:before="0" w:after="0" w:line="240" w:lineRule="auto"/>
        <w:ind w:firstLine="480"/>
        <w:jc w:val="both"/>
        <w:rPr>
          <w:bCs/>
          <w:spacing w:val="10"/>
          <w:kern w:val="2"/>
        </w:rPr>
      </w:pPr>
      <w:r>
        <w:rPr>
          <w:rFonts w:hint="eastAsia"/>
          <w:bCs/>
          <w:spacing w:val="10"/>
          <w:kern w:val="2"/>
        </w:rPr>
        <w:t>投资者在销售</w:t>
      </w:r>
      <w:r>
        <w:rPr>
          <w:rFonts w:hint="eastAsia"/>
          <w:bCs/>
          <w:spacing w:val="10"/>
          <w:kern w:val="2"/>
        </w:rPr>
        <w:t>机构提供的渠道自主决定是否购买理财产品，确定购买金额，完成交易申请，并在确认份额后进行查询。</w:t>
      </w:r>
    </w:p>
    <w:p w14:paraId="500FF804" w14:textId="77777777" w:rsidR="007228C1" w:rsidRDefault="008B423D">
      <w:pPr>
        <w:pStyle w:val="a6"/>
        <w:spacing w:before="0" w:after="0" w:line="240" w:lineRule="auto"/>
        <w:ind w:firstLine="480"/>
        <w:jc w:val="both"/>
        <w:rPr>
          <w:bCs/>
          <w:spacing w:val="10"/>
          <w:kern w:val="2"/>
        </w:rPr>
      </w:pPr>
      <w:permStart w:id="1583104203" w:edGrp="everyone"/>
      <w:r>
        <w:rPr>
          <w:rFonts w:hint="eastAsia"/>
          <w:bCs/>
          <w:spacing w:val="10"/>
          <w:kern w:val="2"/>
        </w:rPr>
        <w:t>通过代销机构购买理财产品的具体流程说明：</w:t>
      </w:r>
    </w:p>
    <w:p w14:paraId="0FAA9051" w14:textId="77777777" w:rsidR="007228C1" w:rsidRDefault="008B423D">
      <w:pPr>
        <w:pStyle w:val="a6"/>
        <w:spacing w:before="0" w:after="0" w:line="240" w:lineRule="auto"/>
        <w:ind w:firstLineChars="200" w:firstLine="520"/>
        <w:jc w:val="both"/>
        <w:rPr>
          <w:bCs/>
          <w:spacing w:val="10"/>
          <w:kern w:val="2"/>
        </w:rPr>
      </w:pPr>
      <w:r>
        <w:rPr>
          <w:bCs/>
          <w:spacing w:val="10"/>
          <w:kern w:val="2"/>
        </w:rPr>
        <w:t>1</w:t>
      </w:r>
      <w:r>
        <w:rPr>
          <w:rFonts w:hint="eastAsia"/>
          <w:bCs/>
          <w:spacing w:val="10"/>
          <w:kern w:val="2"/>
        </w:rPr>
        <w:t>、理财签约</w:t>
      </w:r>
    </w:p>
    <w:p w14:paraId="1D6F2541" w14:textId="77777777" w:rsidR="007228C1" w:rsidRDefault="008B423D">
      <w:pPr>
        <w:pStyle w:val="a6"/>
        <w:spacing w:before="0" w:after="0" w:line="240" w:lineRule="auto"/>
        <w:ind w:firstLineChars="200" w:firstLine="520"/>
        <w:jc w:val="both"/>
        <w:rPr>
          <w:bCs/>
          <w:spacing w:val="10"/>
          <w:kern w:val="2"/>
        </w:rPr>
      </w:pPr>
      <w:r>
        <w:rPr>
          <w:rFonts w:hint="eastAsia"/>
          <w:bCs/>
          <w:spacing w:val="10"/>
          <w:kern w:val="2"/>
        </w:rPr>
        <w:t>首次购买理财的投资者须进行风险承受能力评估（详见第二条）和理财签约。</w:t>
      </w:r>
    </w:p>
    <w:p w14:paraId="4BF5006F" w14:textId="77777777" w:rsidR="007228C1" w:rsidRDefault="008B423D">
      <w:pPr>
        <w:pStyle w:val="a6"/>
        <w:spacing w:before="0" w:after="0" w:line="240" w:lineRule="auto"/>
        <w:ind w:firstLineChars="200" w:firstLine="520"/>
        <w:jc w:val="both"/>
        <w:rPr>
          <w:bCs/>
          <w:spacing w:val="10"/>
          <w:kern w:val="2"/>
        </w:rPr>
      </w:pPr>
      <w:r>
        <w:rPr>
          <w:bCs/>
          <w:spacing w:val="10"/>
          <w:kern w:val="2"/>
        </w:rPr>
        <w:t>2</w:t>
      </w:r>
      <w:r>
        <w:rPr>
          <w:rFonts w:hint="eastAsia"/>
          <w:bCs/>
          <w:spacing w:val="10"/>
          <w:kern w:val="2"/>
        </w:rPr>
        <w:t>、理财产品认</w:t>
      </w:r>
      <w:r>
        <w:rPr>
          <w:bCs/>
          <w:spacing w:val="10"/>
          <w:kern w:val="2"/>
        </w:rPr>
        <w:t>/</w:t>
      </w:r>
      <w:r>
        <w:rPr>
          <w:rFonts w:hint="eastAsia"/>
          <w:bCs/>
          <w:spacing w:val="10"/>
          <w:kern w:val="2"/>
        </w:rPr>
        <w:t>申购申请</w:t>
      </w:r>
    </w:p>
    <w:p w14:paraId="111E89A7" w14:textId="77777777" w:rsidR="007228C1" w:rsidRDefault="008B423D">
      <w:pPr>
        <w:pStyle w:val="a6"/>
        <w:spacing w:before="0" w:after="0" w:line="240" w:lineRule="auto"/>
        <w:ind w:firstLineChars="200" w:firstLine="520"/>
        <w:jc w:val="both"/>
        <w:rPr>
          <w:bCs/>
          <w:spacing w:val="10"/>
          <w:kern w:val="2"/>
        </w:rPr>
      </w:pPr>
      <w:r>
        <w:rPr>
          <w:rFonts w:hint="eastAsia"/>
          <w:bCs/>
          <w:spacing w:val="10"/>
          <w:kern w:val="2"/>
        </w:rPr>
        <w:t>投资者自主决定是否购买理财产品。在理财产品募集期</w:t>
      </w:r>
      <w:r>
        <w:rPr>
          <w:bCs/>
          <w:spacing w:val="10"/>
          <w:kern w:val="2"/>
        </w:rPr>
        <w:t>/</w:t>
      </w:r>
      <w:r>
        <w:rPr>
          <w:rFonts w:hint="eastAsia"/>
          <w:bCs/>
          <w:spacing w:val="10"/>
          <w:kern w:val="2"/>
        </w:rPr>
        <w:t>开放期销售时段内，投资者需通过常熟农商银行下属各营业网点和电子渠道（包括但不限于手机银行等渠道）购买。投资者需通过相关渠道仔细阅读理财产品销售文件，根据认购</w:t>
      </w:r>
      <w:r>
        <w:rPr>
          <w:bCs/>
          <w:spacing w:val="10"/>
          <w:kern w:val="2"/>
        </w:rPr>
        <w:t>/</w:t>
      </w:r>
      <w:r>
        <w:rPr>
          <w:rFonts w:hint="eastAsia"/>
          <w:bCs/>
          <w:spacing w:val="10"/>
          <w:kern w:val="2"/>
        </w:rPr>
        <w:t>申购流程逐项点击确认进行购买，认</w:t>
      </w:r>
      <w:r>
        <w:rPr>
          <w:bCs/>
          <w:spacing w:val="10"/>
          <w:kern w:val="2"/>
        </w:rPr>
        <w:t>/</w:t>
      </w:r>
      <w:r>
        <w:rPr>
          <w:rFonts w:hint="eastAsia"/>
          <w:bCs/>
          <w:spacing w:val="10"/>
          <w:kern w:val="2"/>
        </w:rPr>
        <w:t>申购结果以在该等渠道的查询结果为准。</w:t>
      </w:r>
    </w:p>
    <w:p w14:paraId="5B9391A6" w14:textId="77777777" w:rsidR="007228C1" w:rsidRDefault="008B423D">
      <w:pPr>
        <w:pStyle w:val="a6"/>
        <w:spacing w:before="0" w:after="0" w:line="240" w:lineRule="auto"/>
        <w:ind w:firstLineChars="200" w:firstLine="520"/>
        <w:jc w:val="both"/>
        <w:rPr>
          <w:bCs/>
          <w:spacing w:val="10"/>
          <w:kern w:val="2"/>
        </w:rPr>
      </w:pPr>
      <w:r>
        <w:rPr>
          <w:bCs/>
          <w:spacing w:val="10"/>
          <w:kern w:val="2"/>
        </w:rPr>
        <w:t>3</w:t>
      </w:r>
      <w:r>
        <w:rPr>
          <w:rFonts w:hint="eastAsia"/>
          <w:bCs/>
          <w:spacing w:val="10"/>
          <w:kern w:val="2"/>
        </w:rPr>
        <w:t>、理财产品认</w:t>
      </w:r>
      <w:r>
        <w:rPr>
          <w:bCs/>
          <w:spacing w:val="10"/>
          <w:kern w:val="2"/>
        </w:rPr>
        <w:t>/</w:t>
      </w:r>
      <w:r>
        <w:rPr>
          <w:rFonts w:hint="eastAsia"/>
          <w:bCs/>
          <w:spacing w:val="10"/>
          <w:kern w:val="2"/>
        </w:rPr>
        <w:t>申购申请撤销。投资者在理财产品认购期</w:t>
      </w:r>
      <w:r>
        <w:rPr>
          <w:bCs/>
          <w:spacing w:val="10"/>
          <w:kern w:val="2"/>
        </w:rPr>
        <w:t>/</w:t>
      </w:r>
      <w:r>
        <w:rPr>
          <w:rFonts w:hint="eastAsia"/>
          <w:bCs/>
          <w:spacing w:val="10"/>
          <w:kern w:val="2"/>
        </w:rPr>
        <w:t>募集期</w:t>
      </w:r>
      <w:r>
        <w:rPr>
          <w:bCs/>
          <w:spacing w:val="10"/>
          <w:kern w:val="2"/>
        </w:rPr>
        <w:t>/</w:t>
      </w:r>
      <w:r>
        <w:rPr>
          <w:rFonts w:hint="eastAsia"/>
          <w:bCs/>
          <w:spacing w:val="10"/>
          <w:kern w:val="2"/>
        </w:rPr>
        <w:t>开放期</w:t>
      </w:r>
      <w:r>
        <w:rPr>
          <w:bCs/>
          <w:spacing w:val="10"/>
          <w:kern w:val="2"/>
        </w:rPr>
        <w:t>/</w:t>
      </w:r>
      <w:r>
        <w:rPr>
          <w:rFonts w:hint="eastAsia"/>
          <w:bCs/>
          <w:spacing w:val="10"/>
          <w:kern w:val="2"/>
        </w:rPr>
        <w:t>投资冷静期（私募产品适用）内，可以撤销理财产品相应的认</w:t>
      </w:r>
      <w:r>
        <w:rPr>
          <w:bCs/>
          <w:spacing w:val="10"/>
          <w:kern w:val="2"/>
        </w:rPr>
        <w:t>/</w:t>
      </w:r>
      <w:r>
        <w:rPr>
          <w:rFonts w:hint="eastAsia"/>
          <w:bCs/>
          <w:spacing w:val="10"/>
          <w:kern w:val="2"/>
        </w:rPr>
        <w:t>申购申请。</w:t>
      </w:r>
    </w:p>
    <w:p w14:paraId="4747802B" w14:textId="77777777" w:rsidR="007228C1" w:rsidRDefault="008B423D">
      <w:pPr>
        <w:pStyle w:val="a6"/>
        <w:spacing w:before="0" w:after="0" w:line="240" w:lineRule="auto"/>
        <w:ind w:firstLineChars="200" w:firstLine="520"/>
        <w:jc w:val="both"/>
        <w:rPr>
          <w:bCs/>
          <w:spacing w:val="10"/>
          <w:kern w:val="2"/>
        </w:rPr>
      </w:pPr>
      <w:r>
        <w:rPr>
          <w:bCs/>
          <w:spacing w:val="10"/>
          <w:kern w:val="2"/>
        </w:rPr>
        <w:t>4</w:t>
      </w:r>
      <w:r>
        <w:rPr>
          <w:rFonts w:hint="eastAsia"/>
          <w:bCs/>
          <w:spacing w:val="10"/>
          <w:kern w:val="2"/>
        </w:rPr>
        <w:t>、理财产品提前终止、赎回</w:t>
      </w:r>
      <w:r>
        <w:rPr>
          <w:bCs/>
          <w:spacing w:val="10"/>
          <w:kern w:val="2"/>
        </w:rPr>
        <w:t>/</w:t>
      </w:r>
      <w:r>
        <w:rPr>
          <w:rFonts w:hint="eastAsia"/>
          <w:bCs/>
          <w:spacing w:val="10"/>
          <w:kern w:val="2"/>
        </w:rPr>
        <w:t>到期兑付和税收。</w:t>
      </w:r>
    </w:p>
    <w:p w14:paraId="1D0CDCEC" w14:textId="77777777" w:rsidR="007228C1" w:rsidRDefault="008B423D">
      <w:pPr>
        <w:pStyle w:val="a6"/>
        <w:spacing w:before="0" w:after="0" w:line="240" w:lineRule="auto"/>
        <w:ind w:firstLineChars="200" w:firstLine="520"/>
        <w:jc w:val="both"/>
        <w:rPr>
          <w:bCs/>
          <w:spacing w:val="10"/>
          <w:kern w:val="2"/>
        </w:rPr>
      </w:pPr>
      <w:r>
        <w:rPr>
          <w:rFonts w:hint="eastAsia"/>
          <w:bCs/>
          <w:spacing w:val="10"/>
          <w:kern w:val="2"/>
        </w:rPr>
        <w:t>提前终止：当理财产品发生全部提前终止时，南银理财和代销机构应当按照对应期次理财产品销售文件约定的方式向投资者告知相应理财产品的提前终止事宜。</w:t>
      </w:r>
    </w:p>
    <w:p w14:paraId="11840169" w14:textId="77777777" w:rsidR="007228C1" w:rsidRDefault="008B423D">
      <w:pPr>
        <w:pStyle w:val="a6"/>
        <w:spacing w:before="0" w:after="0" w:line="240" w:lineRule="auto"/>
        <w:ind w:firstLineChars="200" w:firstLine="520"/>
        <w:jc w:val="both"/>
        <w:rPr>
          <w:bCs/>
          <w:spacing w:val="10"/>
          <w:kern w:val="2"/>
        </w:rPr>
      </w:pPr>
      <w:r>
        <w:rPr>
          <w:rFonts w:hint="eastAsia"/>
          <w:bCs/>
          <w:spacing w:val="10"/>
          <w:kern w:val="2"/>
        </w:rPr>
        <w:t>赎回</w:t>
      </w:r>
      <w:r>
        <w:rPr>
          <w:bCs/>
          <w:spacing w:val="10"/>
          <w:kern w:val="2"/>
        </w:rPr>
        <w:t>/</w:t>
      </w:r>
      <w:r>
        <w:rPr>
          <w:rFonts w:hint="eastAsia"/>
          <w:bCs/>
          <w:spacing w:val="10"/>
          <w:kern w:val="2"/>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1036CB0D" w14:textId="77777777" w:rsidR="007228C1" w:rsidRDefault="008B423D">
      <w:pPr>
        <w:pStyle w:val="a6"/>
        <w:spacing w:before="0" w:after="0" w:line="240" w:lineRule="auto"/>
        <w:ind w:firstLine="480"/>
        <w:jc w:val="both"/>
        <w:rPr>
          <w:bCs/>
          <w:spacing w:val="10"/>
          <w:kern w:val="2"/>
        </w:rPr>
      </w:pPr>
      <w:r>
        <w:rPr>
          <w:rFonts w:hint="eastAsia"/>
          <w:bCs/>
          <w:spacing w:val="10"/>
          <w:kern w:val="2"/>
        </w:rPr>
        <w:t>税收：以对应期次的《理财产品说明书》约定的税务处理方式为准，</w:t>
      </w:r>
      <w:r>
        <w:rPr>
          <w:rFonts w:hint="eastAsia"/>
          <w:bCs/>
          <w:spacing w:val="10"/>
          <w:kern w:val="2"/>
        </w:rPr>
        <w:t>如遇国家政策调整则相应执行最新政策。</w:t>
      </w:r>
    </w:p>
    <w:permEnd w:id="1583104203"/>
    <w:p w14:paraId="21186427" w14:textId="77777777" w:rsidR="007228C1" w:rsidRDefault="008B423D">
      <w:pPr>
        <w:pStyle w:val="a6"/>
        <w:spacing w:before="0" w:after="0" w:line="240" w:lineRule="auto"/>
        <w:ind w:firstLineChars="200" w:firstLine="522"/>
        <w:jc w:val="both"/>
        <w:rPr>
          <w:bCs/>
          <w:spacing w:val="10"/>
          <w:kern w:val="2"/>
        </w:rPr>
      </w:pPr>
      <w:r>
        <w:rPr>
          <w:rFonts w:hint="eastAsia"/>
          <w:b/>
          <w:spacing w:val="10"/>
          <w:kern w:val="2"/>
        </w:rPr>
        <w:t>第二条</w:t>
      </w:r>
      <w:r>
        <w:rPr>
          <w:b/>
          <w:spacing w:val="10"/>
          <w:kern w:val="2"/>
        </w:rPr>
        <w:t xml:space="preserve"> </w:t>
      </w:r>
      <w:r>
        <w:rPr>
          <w:rFonts w:hint="eastAsia"/>
          <w:b/>
          <w:spacing w:val="10"/>
          <w:kern w:val="2"/>
        </w:rPr>
        <w:t>投资者风险承受能力评估流程说明</w:t>
      </w:r>
    </w:p>
    <w:p w14:paraId="3FC6E903" w14:textId="77777777" w:rsidR="007228C1" w:rsidRDefault="008B423D">
      <w:pPr>
        <w:pStyle w:val="a6"/>
        <w:spacing w:before="0" w:after="0" w:line="240" w:lineRule="auto"/>
        <w:ind w:firstLine="478"/>
        <w:jc w:val="both"/>
        <w:rPr>
          <w:b/>
          <w:spacing w:val="10"/>
          <w:kern w:val="2"/>
        </w:rPr>
      </w:pPr>
      <w:r>
        <w:rPr>
          <w:rFonts w:hint="eastAsia"/>
          <w:b/>
          <w:spacing w:val="10"/>
          <w:kern w:val="2"/>
        </w:rPr>
        <w:t>（一）个人投资者风险承受能力评估流程说明</w:t>
      </w:r>
    </w:p>
    <w:p w14:paraId="4CE5DE72" w14:textId="77777777" w:rsidR="007228C1" w:rsidRDefault="008B423D">
      <w:pPr>
        <w:pStyle w:val="a6"/>
        <w:spacing w:before="0" w:after="0" w:line="240" w:lineRule="auto"/>
        <w:ind w:firstLine="338"/>
        <w:jc w:val="both"/>
        <w:rPr>
          <w:bCs/>
          <w:spacing w:val="10"/>
          <w:kern w:val="2"/>
        </w:rPr>
      </w:pPr>
      <w:r>
        <w:rPr>
          <w:bCs/>
          <w:spacing w:val="10"/>
          <w:kern w:val="2"/>
        </w:rPr>
        <w:t>1</w:t>
      </w:r>
      <w:r>
        <w:rPr>
          <w:rFonts w:hint="eastAsia"/>
          <w:bCs/>
          <w:spacing w:val="10"/>
          <w:kern w:val="2"/>
        </w:rPr>
        <w:t>.</w:t>
      </w:r>
      <w:r>
        <w:rPr>
          <w:rFonts w:hint="eastAsia"/>
          <w:bCs/>
          <w:spacing w:val="10"/>
          <w:kern w:val="2"/>
        </w:rPr>
        <w:t>个人投资者首次通过销售机构购买理财产品时应根据销售机构的要求进行风险承受能力评估。</w:t>
      </w:r>
    </w:p>
    <w:p w14:paraId="2993AAC2" w14:textId="77777777" w:rsidR="007228C1" w:rsidRDefault="008B423D">
      <w:pPr>
        <w:pStyle w:val="a6"/>
        <w:spacing w:before="0" w:after="0" w:line="240" w:lineRule="auto"/>
        <w:ind w:firstLine="338"/>
        <w:jc w:val="both"/>
        <w:rPr>
          <w:bCs/>
          <w:spacing w:val="10"/>
          <w:kern w:val="2"/>
        </w:rPr>
      </w:pPr>
      <w:r>
        <w:rPr>
          <w:bCs/>
          <w:spacing w:val="10"/>
          <w:kern w:val="2"/>
        </w:rPr>
        <w:t>2</w:t>
      </w:r>
      <w:r>
        <w:rPr>
          <w:rFonts w:hint="eastAsia"/>
          <w:bCs/>
          <w:spacing w:val="10"/>
          <w:kern w:val="2"/>
        </w:rPr>
        <w:t>.</w:t>
      </w:r>
      <w:r>
        <w:rPr>
          <w:rFonts w:hint="eastAsia"/>
          <w:bCs/>
          <w:spacing w:val="10"/>
          <w:kern w:val="2"/>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210AAB2C" w14:textId="77777777" w:rsidR="007228C1" w:rsidRDefault="008B423D">
      <w:pPr>
        <w:pStyle w:val="a6"/>
        <w:spacing w:before="0" w:after="0" w:line="240" w:lineRule="auto"/>
        <w:ind w:firstLine="338"/>
        <w:jc w:val="both"/>
        <w:rPr>
          <w:bCs/>
          <w:spacing w:val="10"/>
          <w:kern w:val="2"/>
        </w:rPr>
      </w:pPr>
      <w:r>
        <w:rPr>
          <w:bCs/>
          <w:spacing w:val="10"/>
          <w:kern w:val="2"/>
        </w:rPr>
        <w:t>3</w:t>
      </w:r>
      <w:r>
        <w:rPr>
          <w:rFonts w:hint="eastAsia"/>
          <w:bCs/>
          <w:spacing w:val="10"/>
          <w:kern w:val="2"/>
        </w:rPr>
        <w:t>.</w:t>
      </w:r>
      <w:r>
        <w:rPr>
          <w:rFonts w:hint="eastAsia"/>
          <w:bCs/>
          <w:spacing w:val="10"/>
          <w:kern w:val="2"/>
        </w:rPr>
        <w:t>个人投资者风险承受能力评估流程</w:t>
      </w:r>
    </w:p>
    <w:p w14:paraId="31557088" w14:textId="77777777" w:rsidR="007228C1" w:rsidRDefault="008B423D">
      <w:pPr>
        <w:pStyle w:val="a6"/>
        <w:spacing w:before="0" w:after="0" w:line="240" w:lineRule="auto"/>
        <w:ind w:firstLine="338"/>
        <w:jc w:val="both"/>
        <w:rPr>
          <w:bCs/>
          <w:spacing w:val="10"/>
          <w:kern w:val="2"/>
        </w:rPr>
      </w:pPr>
      <w:r>
        <w:rPr>
          <w:rFonts w:hint="eastAsia"/>
          <w:bCs/>
          <w:spacing w:val="10"/>
          <w:kern w:val="2"/>
        </w:rPr>
        <w:t>（</w:t>
      </w:r>
      <w:r>
        <w:rPr>
          <w:bCs/>
          <w:spacing w:val="10"/>
          <w:kern w:val="2"/>
        </w:rPr>
        <w:t>1</w:t>
      </w:r>
      <w:r>
        <w:rPr>
          <w:rFonts w:hint="eastAsia"/>
          <w:bCs/>
          <w:spacing w:val="10"/>
          <w:kern w:val="2"/>
        </w:rPr>
        <w:t>）个人投资者在销售机构进行风险承受能力评估；</w:t>
      </w:r>
    </w:p>
    <w:p w14:paraId="35CAD811" w14:textId="77777777" w:rsidR="007228C1" w:rsidRDefault="008B423D">
      <w:pPr>
        <w:pStyle w:val="a6"/>
        <w:spacing w:before="0" w:after="0" w:line="240" w:lineRule="auto"/>
        <w:ind w:firstLine="338"/>
        <w:jc w:val="both"/>
        <w:rPr>
          <w:bCs/>
          <w:spacing w:val="10"/>
          <w:kern w:val="2"/>
        </w:rPr>
      </w:pPr>
      <w:r>
        <w:rPr>
          <w:rFonts w:hint="eastAsia"/>
          <w:bCs/>
          <w:spacing w:val="10"/>
          <w:kern w:val="2"/>
        </w:rPr>
        <w:t>（</w:t>
      </w:r>
      <w:r>
        <w:rPr>
          <w:bCs/>
          <w:spacing w:val="10"/>
          <w:kern w:val="2"/>
        </w:rPr>
        <w:t>2</w:t>
      </w:r>
      <w:r>
        <w:rPr>
          <w:rFonts w:hint="eastAsia"/>
          <w:bCs/>
          <w:spacing w:val="10"/>
          <w:kern w:val="2"/>
        </w:rPr>
        <w:t>）填写销售</w:t>
      </w:r>
      <w:r>
        <w:rPr>
          <w:rFonts w:hint="eastAsia"/>
          <w:bCs/>
          <w:spacing w:val="10"/>
          <w:kern w:val="2"/>
        </w:rPr>
        <w:t>机构个人投资者风险承受能力测试问卷；</w:t>
      </w:r>
    </w:p>
    <w:p w14:paraId="41CFC2AB" w14:textId="77777777" w:rsidR="007228C1" w:rsidRDefault="008B423D">
      <w:pPr>
        <w:pStyle w:val="a6"/>
        <w:spacing w:before="0" w:after="0" w:line="240" w:lineRule="auto"/>
        <w:ind w:firstLine="338"/>
        <w:jc w:val="both"/>
        <w:rPr>
          <w:bCs/>
          <w:spacing w:val="10"/>
          <w:kern w:val="2"/>
        </w:rPr>
      </w:pPr>
      <w:r>
        <w:rPr>
          <w:rFonts w:hint="eastAsia"/>
          <w:bCs/>
          <w:spacing w:val="10"/>
          <w:kern w:val="2"/>
        </w:rPr>
        <w:t>（</w:t>
      </w:r>
      <w:r>
        <w:rPr>
          <w:bCs/>
          <w:spacing w:val="10"/>
          <w:kern w:val="2"/>
        </w:rPr>
        <w:t>3</w:t>
      </w:r>
      <w:r>
        <w:rPr>
          <w:rFonts w:hint="eastAsia"/>
          <w:bCs/>
          <w:spacing w:val="10"/>
          <w:kern w:val="2"/>
        </w:rPr>
        <w:t>）生成相应的个人投资者风险承受能力评估结果；</w:t>
      </w:r>
    </w:p>
    <w:p w14:paraId="5A6BE054" w14:textId="77777777" w:rsidR="007228C1" w:rsidRDefault="008B423D">
      <w:pPr>
        <w:pStyle w:val="a6"/>
        <w:spacing w:before="0" w:after="0" w:line="240" w:lineRule="auto"/>
        <w:ind w:firstLine="338"/>
        <w:jc w:val="both"/>
        <w:rPr>
          <w:bCs/>
          <w:spacing w:val="10"/>
          <w:kern w:val="2"/>
        </w:rPr>
      </w:pPr>
      <w:r>
        <w:rPr>
          <w:rFonts w:hint="eastAsia"/>
          <w:bCs/>
          <w:spacing w:val="10"/>
          <w:kern w:val="2"/>
        </w:rPr>
        <w:t>（</w:t>
      </w:r>
      <w:r>
        <w:rPr>
          <w:bCs/>
          <w:spacing w:val="10"/>
          <w:kern w:val="2"/>
        </w:rPr>
        <w:t>4</w:t>
      </w:r>
      <w:r>
        <w:rPr>
          <w:rFonts w:hint="eastAsia"/>
          <w:bCs/>
          <w:spacing w:val="10"/>
          <w:kern w:val="2"/>
        </w:rPr>
        <w:t>）投资者对评估结果进行确认。</w:t>
      </w:r>
    </w:p>
    <w:p w14:paraId="7789D7EB" w14:textId="77777777" w:rsidR="007228C1" w:rsidRDefault="008B423D">
      <w:pPr>
        <w:pStyle w:val="a6"/>
        <w:spacing w:before="0" w:after="0" w:line="240" w:lineRule="auto"/>
        <w:ind w:firstLine="478"/>
        <w:jc w:val="both"/>
        <w:rPr>
          <w:bCs/>
          <w:spacing w:val="10"/>
          <w:kern w:val="2"/>
        </w:rPr>
      </w:pPr>
      <w:r>
        <w:rPr>
          <w:rFonts w:hint="eastAsia"/>
          <w:bCs/>
          <w:spacing w:val="10"/>
          <w:kern w:val="2"/>
        </w:rPr>
        <w:t>●特别提示：如个人投资者发生可能影响其自身风险承受能力的情况，再次购买理财产品时应当主动要求销售机构对其进行风险承受能力评估。</w:t>
      </w:r>
    </w:p>
    <w:p w14:paraId="7E2D57AA" w14:textId="77777777" w:rsidR="007228C1" w:rsidRDefault="008B423D">
      <w:pPr>
        <w:pStyle w:val="a6"/>
        <w:spacing w:before="0" w:after="0" w:line="240" w:lineRule="auto"/>
        <w:ind w:firstLineChars="200" w:firstLine="520"/>
        <w:jc w:val="both"/>
        <w:rPr>
          <w:spacing w:val="10"/>
          <w:kern w:val="2"/>
        </w:rPr>
      </w:pPr>
      <w:r>
        <w:rPr>
          <w:rFonts w:hint="eastAsia"/>
          <w:spacing w:val="10"/>
          <w:kern w:val="2"/>
        </w:rPr>
        <w:t>评级具体含义说明。投资者风险承受能力评估结果的含义如下：</w:t>
      </w:r>
    </w:p>
    <w:p w14:paraId="2C891A5B" w14:textId="77777777" w:rsidR="007228C1" w:rsidRDefault="008B423D">
      <w:pPr>
        <w:pStyle w:val="a6"/>
        <w:spacing w:before="0" w:after="0" w:line="240" w:lineRule="auto"/>
        <w:ind w:firstLineChars="200" w:firstLine="480"/>
        <w:jc w:val="both"/>
        <w:rPr>
          <w:spacing w:val="10"/>
          <w:kern w:val="2"/>
        </w:rPr>
      </w:pPr>
      <w:permStart w:id="1695693439"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kern w:val="2"/>
        </w:rPr>
        <w:t>。</w:t>
      </w:r>
    </w:p>
    <w:p w14:paraId="22C4E9CE" w14:textId="77777777" w:rsidR="007228C1" w:rsidRDefault="008B423D">
      <w:pPr>
        <w:pStyle w:val="a6"/>
        <w:spacing w:before="0" w:after="0" w:line="240" w:lineRule="auto"/>
        <w:ind w:firstLineChars="200" w:firstLine="480"/>
        <w:jc w:val="both"/>
        <w:rPr>
          <w:spacing w:val="10"/>
          <w:kern w:val="2"/>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kern w:val="2"/>
        </w:rPr>
        <w:t>。</w:t>
      </w:r>
    </w:p>
    <w:p w14:paraId="774A4805" w14:textId="77777777" w:rsidR="007228C1" w:rsidRDefault="008B423D">
      <w:pPr>
        <w:pStyle w:val="a6"/>
        <w:spacing w:before="0" w:after="0" w:line="240" w:lineRule="auto"/>
        <w:ind w:firstLineChars="200" w:firstLine="480"/>
        <w:jc w:val="both"/>
        <w:rPr>
          <w:spacing w:val="10"/>
          <w:kern w:val="2"/>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kern w:val="2"/>
        </w:rPr>
        <w:t>。</w:t>
      </w:r>
    </w:p>
    <w:p w14:paraId="77B9CCE4" w14:textId="77777777" w:rsidR="007228C1" w:rsidRDefault="008B423D">
      <w:pPr>
        <w:pStyle w:val="a6"/>
        <w:spacing w:before="0" w:after="0" w:line="240" w:lineRule="auto"/>
        <w:ind w:firstLineChars="200" w:firstLine="480"/>
        <w:jc w:val="both"/>
        <w:rPr>
          <w:spacing w:val="10"/>
          <w:kern w:val="2"/>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kern w:val="2"/>
        </w:rPr>
        <w:t>。</w:t>
      </w:r>
    </w:p>
    <w:p w14:paraId="2DF64861" w14:textId="77777777" w:rsidR="007228C1" w:rsidRDefault="008B423D">
      <w:pPr>
        <w:pStyle w:val="a6"/>
        <w:spacing w:before="0" w:after="0" w:line="240" w:lineRule="auto"/>
        <w:ind w:firstLineChars="200" w:firstLine="480"/>
        <w:jc w:val="both"/>
        <w:rPr>
          <w:spacing w:val="10"/>
          <w:kern w:val="2"/>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kern w:val="2"/>
        </w:rPr>
        <w:t>。</w:t>
      </w:r>
    </w:p>
    <w:permEnd w:id="1695693439"/>
    <w:p w14:paraId="5C438D53" w14:textId="77777777" w:rsidR="007228C1" w:rsidRDefault="008B423D">
      <w:pPr>
        <w:pStyle w:val="a6"/>
        <w:spacing w:before="0" w:after="0" w:line="240" w:lineRule="auto"/>
        <w:ind w:firstLineChars="200" w:firstLine="522"/>
        <w:jc w:val="both"/>
        <w:rPr>
          <w:b/>
          <w:spacing w:val="10"/>
          <w:kern w:val="2"/>
        </w:rPr>
      </w:pPr>
      <w:r>
        <w:rPr>
          <w:rFonts w:hint="eastAsia"/>
          <w:b/>
          <w:spacing w:val="10"/>
          <w:kern w:val="2"/>
        </w:rPr>
        <w:t>（二）机构投资者风险承受能力评估流程说明</w:t>
      </w:r>
    </w:p>
    <w:p w14:paraId="26918C0F" w14:textId="77777777" w:rsidR="007228C1" w:rsidRDefault="008B423D">
      <w:pPr>
        <w:pStyle w:val="a6"/>
        <w:spacing w:before="0" w:after="0" w:line="240" w:lineRule="auto"/>
        <w:ind w:firstLine="478"/>
        <w:jc w:val="both"/>
        <w:rPr>
          <w:bCs/>
          <w:spacing w:val="10"/>
          <w:kern w:val="2"/>
        </w:rPr>
      </w:pPr>
      <w:r>
        <w:rPr>
          <w:rFonts w:hint="eastAsia"/>
          <w:bCs/>
          <w:spacing w:val="10"/>
          <w:kern w:val="2"/>
        </w:rPr>
        <w:t>机构投资者请根据自身的财务状况、投资经验、投资目标、风险认知、风险判断及其他因素综合考量理财产品的投资风险及自身的风险承受能力。</w:t>
      </w:r>
    </w:p>
    <w:p w14:paraId="38B6EC4C" w14:textId="77777777" w:rsidR="007228C1" w:rsidRDefault="008B423D">
      <w:pPr>
        <w:pStyle w:val="a6"/>
        <w:spacing w:before="0" w:after="0" w:line="240" w:lineRule="auto"/>
        <w:ind w:firstLine="478"/>
        <w:jc w:val="both"/>
        <w:rPr>
          <w:bCs/>
          <w:spacing w:val="10"/>
          <w:kern w:val="2"/>
        </w:rPr>
      </w:pPr>
      <w:r>
        <w:rPr>
          <w:rFonts w:hint="eastAsia"/>
          <w:b/>
          <w:spacing w:val="10"/>
          <w:kern w:val="2"/>
        </w:rPr>
        <w:t>第三条</w:t>
      </w:r>
      <w:r>
        <w:rPr>
          <w:b/>
          <w:spacing w:val="10"/>
          <w:kern w:val="2"/>
        </w:rPr>
        <w:t xml:space="preserve"> </w:t>
      </w:r>
      <w:r>
        <w:rPr>
          <w:rFonts w:hint="eastAsia"/>
          <w:b/>
          <w:spacing w:val="10"/>
          <w:kern w:val="2"/>
        </w:rPr>
        <w:t>理财产品风险等级说明</w:t>
      </w:r>
    </w:p>
    <w:p w14:paraId="5C93F913" w14:textId="77777777" w:rsidR="007228C1" w:rsidRDefault="008B423D">
      <w:pPr>
        <w:pStyle w:val="a6"/>
        <w:spacing w:before="0" w:after="0" w:line="240" w:lineRule="auto"/>
        <w:ind w:firstLineChars="199" w:firstLine="517"/>
        <w:jc w:val="both"/>
        <w:rPr>
          <w:spacing w:val="10"/>
          <w:kern w:val="2"/>
        </w:rPr>
      </w:pPr>
      <w:r>
        <w:rPr>
          <w:rFonts w:hint="eastAsia"/>
          <w:spacing w:val="10"/>
          <w:kern w:val="2"/>
        </w:rPr>
        <w:t>由于理财产品的运行方式和投资范围等不同，其承担的风险程度各有不同，南银理财将其风险等级分为五级，分别为：</w:t>
      </w:r>
      <w:r>
        <w:rPr>
          <w:rFonts w:hint="eastAsia"/>
          <w:spacing w:val="10"/>
          <w:kern w:val="2"/>
        </w:rPr>
        <w:t>PR1</w:t>
      </w:r>
      <w:r>
        <w:rPr>
          <w:rFonts w:hint="eastAsia"/>
          <w:spacing w:val="10"/>
          <w:kern w:val="2"/>
        </w:rPr>
        <w:t>级（低风险）、</w:t>
      </w:r>
      <w:r>
        <w:rPr>
          <w:rFonts w:hint="eastAsia"/>
          <w:spacing w:val="10"/>
          <w:kern w:val="2"/>
        </w:rPr>
        <w:t>PR2</w:t>
      </w:r>
      <w:r>
        <w:rPr>
          <w:rFonts w:hint="eastAsia"/>
          <w:spacing w:val="10"/>
          <w:kern w:val="2"/>
        </w:rPr>
        <w:t>级（中低风险）、</w:t>
      </w:r>
      <w:r>
        <w:rPr>
          <w:rFonts w:hint="eastAsia"/>
          <w:spacing w:val="10"/>
          <w:kern w:val="2"/>
        </w:rPr>
        <w:t>PR3</w:t>
      </w:r>
      <w:r>
        <w:rPr>
          <w:rFonts w:hint="eastAsia"/>
          <w:spacing w:val="10"/>
          <w:kern w:val="2"/>
        </w:rPr>
        <w:t>级（中</w:t>
      </w:r>
      <w:r>
        <w:rPr>
          <w:rFonts w:hint="eastAsia"/>
          <w:spacing w:val="10"/>
          <w:kern w:val="2"/>
        </w:rPr>
        <w:t>等风险）、</w:t>
      </w:r>
      <w:r>
        <w:rPr>
          <w:spacing w:val="10"/>
          <w:kern w:val="2"/>
        </w:rPr>
        <w:t>PR4</w:t>
      </w:r>
      <w:r>
        <w:rPr>
          <w:rFonts w:hint="eastAsia"/>
          <w:spacing w:val="10"/>
          <w:kern w:val="2"/>
        </w:rPr>
        <w:t>级（中高风险）、</w:t>
      </w:r>
      <w:r>
        <w:rPr>
          <w:spacing w:val="10"/>
          <w:kern w:val="2"/>
        </w:rPr>
        <w:t>PR5</w:t>
      </w:r>
      <w:r>
        <w:rPr>
          <w:rFonts w:hint="eastAsia"/>
          <w:spacing w:val="10"/>
          <w:kern w:val="2"/>
        </w:rPr>
        <w:t>级（高风险）。</w:t>
      </w:r>
    </w:p>
    <w:p w14:paraId="33C72319" w14:textId="77777777" w:rsidR="007228C1" w:rsidRDefault="008B423D">
      <w:pPr>
        <w:pStyle w:val="a6"/>
        <w:spacing w:before="0" w:after="0" w:line="240" w:lineRule="auto"/>
        <w:ind w:firstLineChars="199" w:firstLine="517"/>
        <w:jc w:val="both"/>
        <w:rPr>
          <w:spacing w:val="10"/>
          <w:kern w:val="2"/>
        </w:rPr>
      </w:pPr>
      <w:r>
        <w:rPr>
          <w:spacing w:val="10"/>
          <w:kern w:val="2"/>
        </w:rPr>
        <w:t>PR1</w:t>
      </w:r>
      <w:r>
        <w:rPr>
          <w:rFonts w:hint="eastAsia"/>
          <w:spacing w:val="10"/>
          <w:kern w:val="2"/>
        </w:rPr>
        <w:t>级（低风险）：管理人不承诺本金保障，产品收益随投资表现变动，产品存在极低的本金损失风险。</w:t>
      </w:r>
    </w:p>
    <w:p w14:paraId="799A3DB6" w14:textId="77777777" w:rsidR="007228C1" w:rsidRDefault="008B423D">
      <w:pPr>
        <w:pStyle w:val="a6"/>
        <w:spacing w:before="0" w:after="0" w:line="240" w:lineRule="auto"/>
        <w:ind w:firstLineChars="199" w:firstLine="517"/>
        <w:jc w:val="both"/>
        <w:rPr>
          <w:spacing w:val="10"/>
          <w:kern w:val="2"/>
        </w:rPr>
      </w:pPr>
      <w:r>
        <w:rPr>
          <w:spacing w:val="10"/>
          <w:kern w:val="2"/>
        </w:rPr>
        <w:t>PR2</w:t>
      </w:r>
      <w:r>
        <w:rPr>
          <w:rFonts w:hint="eastAsia"/>
          <w:spacing w:val="10"/>
          <w:kern w:val="2"/>
        </w:rPr>
        <w:t>级（中低风险）：管理人不承诺本金保障，产品收益随投资表现变动，产品存在较低的本金损失风险。</w:t>
      </w:r>
    </w:p>
    <w:p w14:paraId="2D3E61D5" w14:textId="77777777" w:rsidR="007228C1" w:rsidRDefault="008B423D">
      <w:pPr>
        <w:pStyle w:val="a6"/>
        <w:spacing w:before="0" w:after="0" w:line="240" w:lineRule="auto"/>
        <w:ind w:firstLineChars="199" w:firstLine="517"/>
        <w:jc w:val="both"/>
        <w:rPr>
          <w:spacing w:val="10"/>
          <w:kern w:val="2"/>
        </w:rPr>
      </w:pPr>
      <w:r>
        <w:rPr>
          <w:spacing w:val="10"/>
          <w:kern w:val="2"/>
        </w:rPr>
        <w:t>PR3</w:t>
      </w:r>
      <w:r>
        <w:rPr>
          <w:rFonts w:hint="eastAsia"/>
          <w:spacing w:val="10"/>
          <w:kern w:val="2"/>
        </w:rPr>
        <w:t>级（中等风险）：管理人不承诺本金保障，产品收益随投资表现变动，产品存在一定的本金损失风险。</w:t>
      </w:r>
    </w:p>
    <w:p w14:paraId="4D3C05D0" w14:textId="77777777" w:rsidR="007228C1" w:rsidRDefault="008B423D">
      <w:pPr>
        <w:pStyle w:val="a6"/>
        <w:spacing w:before="0" w:after="0" w:line="240" w:lineRule="auto"/>
        <w:ind w:firstLineChars="199" w:firstLine="517"/>
        <w:jc w:val="both"/>
        <w:rPr>
          <w:spacing w:val="10"/>
          <w:kern w:val="2"/>
        </w:rPr>
      </w:pPr>
      <w:r>
        <w:rPr>
          <w:spacing w:val="10"/>
          <w:kern w:val="2"/>
        </w:rPr>
        <w:t>PR4</w:t>
      </w:r>
      <w:r>
        <w:rPr>
          <w:rFonts w:hint="eastAsia"/>
          <w:spacing w:val="10"/>
          <w:kern w:val="2"/>
        </w:rPr>
        <w:t>级（中高风险）：管理人不承诺本金保障，产品收益随投资表现变动，产品存在较高的本金损失风险。</w:t>
      </w:r>
    </w:p>
    <w:p w14:paraId="12B7E9D0" w14:textId="77777777" w:rsidR="007228C1" w:rsidRDefault="008B423D">
      <w:pPr>
        <w:pStyle w:val="a6"/>
        <w:spacing w:before="0" w:after="0" w:line="240" w:lineRule="auto"/>
        <w:ind w:firstLineChars="198" w:firstLine="515"/>
        <w:jc w:val="both"/>
      </w:pPr>
      <w:r>
        <w:rPr>
          <w:spacing w:val="10"/>
          <w:kern w:val="2"/>
        </w:rPr>
        <w:t>PR5</w:t>
      </w:r>
      <w:r>
        <w:rPr>
          <w:rFonts w:hint="eastAsia"/>
          <w:spacing w:val="10"/>
          <w:kern w:val="2"/>
        </w:rPr>
        <w:t>级（高风险）：管理人不承诺本金保障，产品收益随投资表现变动，产品存在极高的本金损失风险，产品本金蒙受全部损失的可能性不容忽视。</w:t>
      </w:r>
    </w:p>
    <w:p w14:paraId="34917D98" w14:textId="77777777" w:rsidR="007228C1" w:rsidRDefault="008B423D">
      <w:pPr>
        <w:pStyle w:val="a6"/>
        <w:spacing w:before="0" w:after="0" w:line="240" w:lineRule="auto"/>
        <w:ind w:firstLineChars="199" w:firstLine="517"/>
        <w:jc w:val="both"/>
        <w:rPr>
          <w:spacing w:val="10"/>
          <w:kern w:val="2"/>
        </w:rPr>
      </w:pPr>
      <w:r>
        <w:rPr>
          <w:rFonts w:hint="eastAsia"/>
          <w:spacing w:val="10"/>
          <w:kern w:val="2"/>
        </w:rPr>
        <w:t>本风险等级为南银理财风险评级结果，该产品通过代理销售机构渠道销售的，理财产品评级应当以代理销售机构最终披露的评级结果为准。您需充分认识投资风险，谨慎投资。</w:t>
      </w:r>
    </w:p>
    <w:p w14:paraId="4C8C106D" w14:textId="77777777" w:rsidR="007228C1" w:rsidRDefault="008B423D">
      <w:pPr>
        <w:pStyle w:val="a6"/>
        <w:spacing w:before="0" w:after="0" w:line="240" w:lineRule="auto"/>
        <w:ind w:firstLineChars="200" w:firstLine="522"/>
        <w:jc w:val="both"/>
      </w:pPr>
      <w:r>
        <w:rPr>
          <w:rFonts w:hint="eastAsia"/>
          <w:b/>
          <w:spacing w:val="10"/>
          <w:kern w:val="2"/>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w:t>
      </w:r>
      <w:r>
        <w:rPr>
          <w:rFonts w:hint="eastAsia"/>
          <w:b/>
          <w:spacing w:val="10"/>
          <w:kern w:val="2"/>
        </w:rPr>
        <w:t>较高风险等级评估结果，按较高的风险等级评估结果向投资者进行充分的风险提示并推介理财产品，确保个人投资者的风险承受能力等级不低于本理财产品风险等级。】</w:t>
      </w:r>
    </w:p>
    <w:p w14:paraId="345F0821" w14:textId="77777777" w:rsidR="007228C1" w:rsidRDefault="008B423D">
      <w:pPr>
        <w:pStyle w:val="a6"/>
        <w:spacing w:before="0" w:after="0" w:line="240" w:lineRule="auto"/>
        <w:ind w:firstLineChars="198" w:firstLine="517"/>
        <w:jc w:val="both"/>
        <w:rPr>
          <w:b/>
          <w:bCs/>
          <w:spacing w:val="10"/>
          <w:kern w:val="2"/>
        </w:rPr>
      </w:pPr>
      <w:r>
        <w:rPr>
          <w:rFonts w:hint="eastAsia"/>
          <w:b/>
          <w:bCs/>
          <w:spacing w:val="10"/>
          <w:kern w:val="2"/>
        </w:rPr>
        <w:t>第四条</w:t>
      </w:r>
      <w:r>
        <w:rPr>
          <w:b/>
          <w:bCs/>
          <w:spacing w:val="10"/>
          <w:kern w:val="2"/>
        </w:rPr>
        <w:t xml:space="preserve"> </w:t>
      </w:r>
      <w:r>
        <w:rPr>
          <w:rFonts w:hint="eastAsia"/>
          <w:b/>
          <w:bCs/>
          <w:spacing w:val="10"/>
          <w:kern w:val="2"/>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7228C1" w14:paraId="418A7FF0"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3CC7AE5C"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5378C721"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5B7C104F"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7228C1" w14:paraId="051D9E96"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795B00D6" w14:textId="77777777" w:rsidR="007228C1" w:rsidRDefault="007228C1">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333C0C1A"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A90CC0"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6D5AEA47"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53DA9F67"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052204C5"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7228C1" w14:paraId="22C67618"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5C5989A0" w14:textId="77777777" w:rsidR="007228C1" w:rsidRDefault="008B423D">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201B49C"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67ABDAE"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DCBA389"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84DAB1E"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16AA6A8E"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r>
      <w:tr w:rsidR="007228C1" w14:paraId="481E8DD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2AD4C83" w14:textId="77777777" w:rsidR="007228C1" w:rsidRDefault="008B423D">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3D5D169B"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7390A0E"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2439B72"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16AF2E85"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59987071"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r>
      <w:tr w:rsidR="007228C1" w14:paraId="292CE057"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5735704A" w14:textId="77777777" w:rsidR="007228C1" w:rsidRDefault="008B423D">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38219D47"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9B70D3"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2444C28"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12A7DF6"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162F21B5"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r>
      <w:tr w:rsidR="007228C1" w14:paraId="2989B1B7"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39A73D4D" w14:textId="77777777" w:rsidR="007228C1" w:rsidRDefault="008B423D">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5FE788B0"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073C059"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3A6EC34"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5C04083"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2B77AF38"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r>
      <w:tr w:rsidR="007228C1" w14:paraId="4294238F"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2738011" w14:textId="77777777" w:rsidR="007228C1" w:rsidRDefault="008B423D">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4404C3B3"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5D4745C"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280A817"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BD5CCF"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79E64F6" w14:textId="77777777" w:rsidR="007228C1" w:rsidRDefault="008B423D">
            <w:pPr>
              <w:widowControl/>
              <w:snapToGrid w:val="0"/>
              <w:jc w:val="center"/>
              <w:rPr>
                <w:rFonts w:ascii="宋体" w:hAnsi="宋体" w:cs="宋体"/>
                <w:kern w:val="0"/>
                <w:sz w:val="24"/>
                <w:szCs w:val="24"/>
              </w:rPr>
            </w:pPr>
            <w:r>
              <w:rPr>
                <w:rFonts w:hint="eastAsia"/>
                <w:spacing w:val="10"/>
                <w:sz w:val="24"/>
                <w:szCs w:val="24"/>
              </w:rPr>
              <w:t>√</w:t>
            </w:r>
          </w:p>
        </w:tc>
      </w:tr>
    </w:tbl>
    <w:p w14:paraId="4824F7E5" w14:textId="77777777" w:rsidR="007228C1" w:rsidRDefault="008B423D">
      <w:pPr>
        <w:pStyle w:val="a6"/>
        <w:spacing w:before="0" w:after="0" w:line="240" w:lineRule="auto"/>
        <w:ind w:firstLineChars="200" w:firstLine="520"/>
        <w:jc w:val="center"/>
        <w:rPr>
          <w:b/>
          <w:spacing w:val="10"/>
          <w:kern w:val="2"/>
        </w:rPr>
      </w:pPr>
      <w:r>
        <w:rPr>
          <w:rFonts w:hint="eastAsia"/>
          <w:spacing w:val="10"/>
          <w:kern w:val="2"/>
        </w:rPr>
        <w:t>备注：√代表可以购买；×代表不能购买。</w:t>
      </w:r>
    </w:p>
    <w:p w14:paraId="4D46E8F4" w14:textId="77777777" w:rsidR="007228C1" w:rsidRDefault="008B423D">
      <w:pPr>
        <w:pStyle w:val="a6"/>
        <w:spacing w:before="0" w:after="0" w:line="240" w:lineRule="auto"/>
        <w:ind w:firstLineChars="200" w:firstLine="522"/>
        <w:rPr>
          <w:b/>
          <w:spacing w:val="10"/>
          <w:kern w:val="2"/>
        </w:rPr>
      </w:pPr>
      <w:r>
        <w:rPr>
          <w:rFonts w:hint="eastAsia"/>
          <w:b/>
          <w:spacing w:val="10"/>
          <w:kern w:val="2"/>
        </w:rPr>
        <w:t>第五条</w:t>
      </w:r>
      <w:r>
        <w:rPr>
          <w:rFonts w:hint="eastAsia"/>
          <w:b/>
          <w:spacing w:val="10"/>
          <w:kern w:val="2"/>
        </w:rPr>
        <w:t xml:space="preserve"> </w:t>
      </w:r>
      <w:r>
        <w:rPr>
          <w:rFonts w:hint="eastAsia"/>
          <w:b/>
          <w:spacing w:val="10"/>
          <w:kern w:val="2"/>
        </w:rPr>
        <w:t>理财产品信息披露的方式、渠道和频率说明</w:t>
      </w:r>
    </w:p>
    <w:p w14:paraId="3463AD89"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南银理财按照对应期次《理财产品说明书》约定的方式、渠道和频率进行信息披露。投资者应密切关注与本理财产品有关的信息披露，以免造成不必要的损失。</w:t>
      </w:r>
    </w:p>
    <w:p w14:paraId="6F0532E3"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投资者预留在南银理财或销售机构的有效联系方式变更的，应及时通知南银理财或销售机构。</w:t>
      </w:r>
      <w:r>
        <w:rPr>
          <w:rFonts w:hint="eastAsia"/>
          <w:b/>
          <w:spacing w:val="10"/>
          <w:kern w:val="2"/>
        </w:rPr>
        <w:t>如投资者未及时告知南银理财或销售机构联系方式变更，造成南银理财或销售机构在需要时无法联系投资者，并由此影响投资者的投资决策，因此而产生的责任和风险由投资者自行承担。</w:t>
      </w:r>
    </w:p>
    <w:p w14:paraId="357E31AA" w14:textId="77777777" w:rsidR="007228C1" w:rsidRDefault="008B423D">
      <w:pPr>
        <w:pStyle w:val="a6"/>
        <w:spacing w:before="0" w:after="0" w:line="240" w:lineRule="auto"/>
        <w:ind w:firstLineChars="200" w:firstLine="522"/>
        <w:rPr>
          <w:bCs/>
          <w:spacing w:val="10"/>
          <w:kern w:val="2"/>
        </w:rPr>
      </w:pPr>
      <w:r>
        <w:rPr>
          <w:rFonts w:hint="eastAsia"/>
          <w:b/>
          <w:spacing w:val="10"/>
          <w:kern w:val="2"/>
        </w:rPr>
        <w:t>第六条</w:t>
      </w:r>
      <w:r>
        <w:rPr>
          <w:rFonts w:hint="eastAsia"/>
          <w:b/>
          <w:spacing w:val="10"/>
          <w:kern w:val="2"/>
        </w:rPr>
        <w:t xml:space="preserve"> </w:t>
      </w:r>
      <w:r>
        <w:rPr>
          <w:rFonts w:hint="eastAsia"/>
          <w:b/>
          <w:spacing w:val="10"/>
          <w:kern w:val="2"/>
        </w:rPr>
        <w:t>投资者信息保护</w:t>
      </w:r>
    </w:p>
    <w:p w14:paraId="454422B2"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南银理财及销售机构承诺依法履行投资者信息保密义务，防范投资者信息被不当采集、使用、传输和泄露，保护投资者的信息安全，法律法规另有规定，或有权机关另有要求的情形除外。</w:t>
      </w:r>
    </w:p>
    <w:p w14:paraId="61F3DBA2" w14:textId="77777777" w:rsidR="007228C1" w:rsidRDefault="008B423D">
      <w:pPr>
        <w:pStyle w:val="a6"/>
        <w:spacing w:before="0" w:after="0" w:line="240" w:lineRule="auto"/>
        <w:ind w:firstLineChars="200" w:firstLine="522"/>
        <w:rPr>
          <w:b/>
          <w:spacing w:val="10"/>
          <w:kern w:val="2"/>
        </w:rPr>
      </w:pPr>
      <w:r>
        <w:rPr>
          <w:rFonts w:hint="eastAsia"/>
          <w:b/>
          <w:spacing w:val="10"/>
          <w:kern w:val="2"/>
        </w:rPr>
        <w:t>第七条</w:t>
      </w:r>
      <w:r>
        <w:rPr>
          <w:rFonts w:hint="eastAsia"/>
          <w:b/>
          <w:spacing w:val="10"/>
          <w:kern w:val="2"/>
        </w:rPr>
        <w:t xml:space="preserve"> </w:t>
      </w:r>
      <w:r>
        <w:rPr>
          <w:rFonts w:hint="eastAsia"/>
          <w:b/>
          <w:spacing w:val="10"/>
          <w:kern w:val="2"/>
        </w:rPr>
        <w:t>投资者投诉的方式和程序</w:t>
      </w:r>
    </w:p>
    <w:p w14:paraId="633DAEF1"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投资者若需针对产品的设计、成立、运作、到期清算或提前终止等事项进行投诉，</w:t>
      </w:r>
      <w:r>
        <w:rPr>
          <w:rFonts w:hint="eastAsia"/>
          <w:b/>
          <w:spacing w:val="10"/>
          <w:kern w:val="2"/>
        </w:rPr>
        <w:t>可与管理人或销售机构联系，管理人或销售机构将及时接听</w:t>
      </w:r>
      <w:r>
        <w:rPr>
          <w:rFonts w:hint="eastAsia"/>
          <w:b/>
          <w:spacing w:val="10"/>
          <w:kern w:val="2"/>
        </w:rPr>
        <w:t>、记录投资者的意见或建议</w:t>
      </w:r>
      <w:r>
        <w:rPr>
          <w:b/>
          <w:spacing w:val="10"/>
          <w:kern w:val="2"/>
        </w:rPr>
        <w:t>，</w:t>
      </w:r>
      <w:r>
        <w:rPr>
          <w:rFonts w:hint="eastAsia"/>
          <w:b/>
          <w:spacing w:val="10"/>
          <w:kern w:val="2"/>
        </w:rPr>
        <w:t>并与投资者协商共同解决</w:t>
      </w:r>
      <w:r>
        <w:rPr>
          <w:rFonts w:hint="eastAsia"/>
          <w:bCs/>
          <w:spacing w:val="10"/>
          <w:kern w:val="2"/>
        </w:rPr>
        <w:t>。</w:t>
      </w:r>
    </w:p>
    <w:p w14:paraId="506D2C44" w14:textId="77777777" w:rsidR="007228C1" w:rsidRDefault="008B423D">
      <w:pPr>
        <w:pStyle w:val="a6"/>
        <w:spacing w:before="0" w:after="0" w:line="240" w:lineRule="auto"/>
        <w:ind w:firstLineChars="200" w:firstLine="522"/>
        <w:rPr>
          <w:b/>
          <w:spacing w:val="10"/>
          <w:kern w:val="2"/>
        </w:rPr>
      </w:pPr>
      <w:r>
        <w:rPr>
          <w:rFonts w:hint="eastAsia"/>
          <w:b/>
          <w:spacing w:val="10"/>
          <w:kern w:val="2"/>
        </w:rPr>
        <w:t>第八条</w:t>
      </w:r>
      <w:r>
        <w:rPr>
          <w:rFonts w:hint="eastAsia"/>
          <w:b/>
          <w:spacing w:val="10"/>
          <w:kern w:val="2"/>
        </w:rPr>
        <w:t xml:space="preserve"> </w:t>
      </w:r>
      <w:r>
        <w:rPr>
          <w:rFonts w:hint="eastAsia"/>
          <w:b/>
          <w:spacing w:val="10"/>
          <w:kern w:val="2"/>
        </w:rPr>
        <w:t>联系方式</w:t>
      </w:r>
    </w:p>
    <w:p w14:paraId="074808F2" w14:textId="77777777" w:rsidR="007228C1" w:rsidRDefault="008B423D">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18BD007" w14:textId="77777777" w:rsidR="007228C1" w:rsidRDefault="008B423D">
      <w:pPr>
        <w:pStyle w:val="a6"/>
        <w:spacing w:before="0" w:after="0" w:line="240" w:lineRule="auto"/>
        <w:ind w:firstLineChars="200" w:firstLine="522"/>
        <w:rPr>
          <w:b/>
          <w:spacing w:val="10"/>
          <w:kern w:val="2"/>
        </w:rPr>
      </w:pPr>
      <w:r>
        <w:rPr>
          <w:rFonts w:hint="eastAsia"/>
          <w:b/>
          <w:spacing w:val="10"/>
          <w:kern w:val="2"/>
        </w:rPr>
        <w:t>联系方式分别如下：</w:t>
      </w:r>
    </w:p>
    <w:p w14:paraId="1BB88B84"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（一）南银理财联系方式</w:t>
      </w:r>
    </w:p>
    <w:p w14:paraId="11CCFAE2" w14:textId="77777777" w:rsidR="007228C1" w:rsidRDefault="008B423D">
      <w:pPr>
        <w:pStyle w:val="a6"/>
        <w:spacing w:before="0" w:after="0" w:line="240" w:lineRule="auto"/>
        <w:ind w:firstLineChars="200" w:firstLine="520"/>
        <w:rPr>
          <w:bCs/>
          <w:spacing w:val="10"/>
          <w:kern w:val="2"/>
        </w:rPr>
      </w:pPr>
      <w:permStart w:id="1694908335" w:edGrp="everyone"/>
      <w:r>
        <w:rPr>
          <w:rFonts w:hint="eastAsia"/>
          <w:bCs/>
          <w:spacing w:val="10"/>
          <w:kern w:val="2"/>
        </w:rPr>
        <w:t xml:space="preserve"> </w:t>
      </w:r>
      <w:r>
        <w:rPr>
          <w:rFonts w:hint="eastAsia"/>
          <w:bCs/>
          <w:spacing w:val="10"/>
          <w:kern w:val="2"/>
        </w:rPr>
        <w:t>南京市建邺区奥体大街</w:t>
      </w:r>
      <w:r>
        <w:rPr>
          <w:rFonts w:hint="eastAsia"/>
          <w:bCs/>
          <w:spacing w:val="10"/>
          <w:kern w:val="2"/>
        </w:rPr>
        <w:t>68</w:t>
      </w:r>
      <w:r>
        <w:rPr>
          <w:rFonts w:hint="eastAsia"/>
          <w:bCs/>
          <w:spacing w:val="10"/>
          <w:kern w:val="2"/>
        </w:rPr>
        <w:t>号国际研发总部园</w:t>
      </w:r>
      <w:r>
        <w:rPr>
          <w:rFonts w:hint="eastAsia"/>
          <w:bCs/>
          <w:spacing w:val="10"/>
          <w:kern w:val="2"/>
        </w:rPr>
        <w:t>2</w:t>
      </w:r>
      <w:r>
        <w:rPr>
          <w:rFonts w:hint="eastAsia"/>
          <w:bCs/>
          <w:spacing w:val="10"/>
          <w:kern w:val="2"/>
        </w:rPr>
        <w:t>栋</w:t>
      </w:r>
      <w:r>
        <w:rPr>
          <w:rFonts w:hint="eastAsia"/>
          <w:bCs/>
          <w:spacing w:val="10"/>
          <w:kern w:val="2"/>
        </w:rPr>
        <w:t>13</w:t>
      </w:r>
      <w:r>
        <w:rPr>
          <w:rFonts w:hint="eastAsia"/>
          <w:bCs/>
          <w:spacing w:val="10"/>
          <w:kern w:val="2"/>
        </w:rPr>
        <w:t>、</w:t>
      </w:r>
      <w:r>
        <w:rPr>
          <w:rFonts w:hint="eastAsia"/>
          <w:bCs/>
          <w:spacing w:val="10"/>
          <w:kern w:val="2"/>
        </w:rPr>
        <w:t>14</w:t>
      </w:r>
      <w:r>
        <w:rPr>
          <w:rFonts w:hint="eastAsia"/>
          <w:bCs/>
          <w:spacing w:val="10"/>
          <w:kern w:val="2"/>
        </w:rPr>
        <w:t>楼</w:t>
      </w:r>
    </w:p>
    <w:p w14:paraId="7FC15EDA" w14:textId="77777777" w:rsidR="007228C1" w:rsidRDefault="008B423D">
      <w:pPr>
        <w:pStyle w:val="a6"/>
        <w:spacing w:before="0" w:after="0" w:line="240" w:lineRule="auto"/>
        <w:ind w:firstLineChars="250" w:firstLine="650"/>
        <w:rPr>
          <w:bCs/>
          <w:spacing w:val="10"/>
          <w:kern w:val="2"/>
        </w:rPr>
      </w:pPr>
      <w:r>
        <w:rPr>
          <w:rFonts w:hint="eastAsia"/>
          <w:bCs/>
          <w:spacing w:val="10"/>
          <w:kern w:val="2"/>
        </w:rPr>
        <w:t>电话：</w:t>
      </w:r>
      <w:r>
        <w:rPr>
          <w:rFonts w:hint="eastAsia"/>
          <w:bCs/>
          <w:spacing w:val="10"/>
          <w:kern w:val="2"/>
        </w:rPr>
        <w:t xml:space="preserve">025-83642065 </w:t>
      </w:r>
      <w:permEnd w:id="1694908335"/>
    </w:p>
    <w:p w14:paraId="3860DE96" w14:textId="77777777" w:rsidR="007228C1" w:rsidRDefault="008B423D">
      <w:pPr>
        <w:pStyle w:val="a6"/>
        <w:spacing w:before="0" w:after="0" w:line="240" w:lineRule="auto"/>
        <w:ind w:firstLineChars="200" w:firstLine="520"/>
        <w:rPr>
          <w:bCs/>
          <w:spacing w:val="10"/>
          <w:kern w:val="2"/>
        </w:rPr>
      </w:pPr>
      <w:r>
        <w:rPr>
          <w:rFonts w:hint="eastAsia"/>
          <w:bCs/>
          <w:spacing w:val="10"/>
          <w:kern w:val="2"/>
        </w:rPr>
        <w:t>（二）销售机构联系方式</w:t>
      </w:r>
    </w:p>
    <w:p w14:paraId="7747F109" w14:textId="77777777" w:rsidR="007228C1" w:rsidRDefault="008B423D">
      <w:pPr>
        <w:pStyle w:val="a6"/>
        <w:spacing w:before="0" w:after="0" w:line="240" w:lineRule="auto"/>
        <w:ind w:firstLineChars="200" w:firstLine="480"/>
        <w:rPr>
          <w:rFonts w:ascii="宋体" w:hAnsi="宋体"/>
          <w:lang w:val="zh-CN"/>
        </w:rPr>
      </w:pPr>
      <w:r>
        <w:rPr>
          <w:rFonts w:ascii="宋体" w:hAnsi="宋体" w:hint="eastAsia"/>
          <w:lang w:val="zh-CN"/>
        </w:rPr>
        <w:t>石嘴山银行（销售机构）</w:t>
      </w:r>
      <w:r>
        <w:rPr>
          <w:rFonts w:ascii="宋体" w:hAnsi="宋体" w:hint="eastAsia"/>
          <w:lang w:val="zh-CN"/>
        </w:rPr>
        <w:t>24</w:t>
      </w:r>
      <w:r>
        <w:rPr>
          <w:rFonts w:ascii="宋体" w:hAnsi="宋体" w:hint="eastAsia"/>
          <w:lang w:val="zh-CN"/>
        </w:rPr>
        <w:t>小时客户服务热线：</w:t>
      </w:r>
      <w:r>
        <w:rPr>
          <w:rFonts w:ascii="宋体" w:hAnsi="宋体" w:hint="eastAsia"/>
        </w:rPr>
        <w:t>0951-</w:t>
      </w:r>
      <w:r>
        <w:rPr>
          <w:rFonts w:ascii="宋体" w:hAnsi="宋体" w:hint="eastAsia"/>
          <w:lang w:val="zh-CN"/>
        </w:rPr>
        <w:t>96789</w:t>
      </w:r>
    </w:p>
    <w:p w14:paraId="1DF6F097" w14:textId="77777777" w:rsidR="007228C1" w:rsidRDefault="008B423D">
      <w:pPr>
        <w:pStyle w:val="a6"/>
        <w:spacing w:before="0" w:after="0" w:line="240" w:lineRule="auto"/>
        <w:ind w:firstLineChars="200" w:firstLine="480"/>
        <w:rPr>
          <w:b/>
          <w:spacing w:val="10"/>
          <w:kern w:val="2"/>
        </w:rPr>
      </w:pPr>
      <w:r>
        <w:rPr>
          <w:rFonts w:ascii="宋体" w:hAnsi="宋体" w:hint="eastAsia"/>
        </w:rPr>
        <w:t>石嘴山银行官网网站：</w:t>
      </w:r>
      <w:hyperlink r:id="rId11" w:history="1">
        <w:r>
          <w:rPr>
            <w:rStyle w:val="a8"/>
            <w:rFonts w:ascii="宋体" w:hAnsi="宋体" w:hint="eastAsia"/>
          </w:rPr>
          <w:t>www.szsccb.com</w:t>
        </w:r>
      </w:hyperlink>
      <w:r>
        <w:rPr>
          <w:rFonts w:ascii="宋体" w:hAnsi="宋体" w:hint="eastAsia"/>
        </w:rPr>
        <w:t>。</w:t>
      </w:r>
    </w:p>
    <w:p w14:paraId="25789052" w14:textId="77777777" w:rsidR="007228C1" w:rsidRDefault="007228C1">
      <w:pPr>
        <w:pStyle w:val="a6"/>
        <w:spacing w:before="0" w:after="0" w:line="240" w:lineRule="auto"/>
        <w:ind w:firstLine="0"/>
        <w:jc w:val="both"/>
        <w:rPr>
          <w:b/>
          <w:spacing w:val="10"/>
          <w:kern w:val="2"/>
          <w:u w:val="single"/>
        </w:rPr>
      </w:pPr>
    </w:p>
    <w:p w14:paraId="1D456DDC" w14:textId="77777777" w:rsidR="007228C1" w:rsidRDefault="008B423D">
      <w:pPr>
        <w:pStyle w:val="a6"/>
        <w:spacing w:before="0" w:after="0" w:line="240" w:lineRule="auto"/>
        <w:ind w:firstLine="0"/>
        <w:jc w:val="center"/>
        <w:rPr>
          <w:b/>
          <w:spacing w:val="10"/>
          <w:kern w:val="2"/>
          <w:u w:val="single"/>
        </w:rPr>
      </w:pPr>
      <w:r>
        <w:rPr>
          <w:rFonts w:hint="eastAsia"/>
          <w:b/>
          <w:spacing w:val="10"/>
          <w:kern w:val="2"/>
          <w:u w:val="single"/>
        </w:rPr>
        <w:t>仔细阅读提示</w:t>
      </w:r>
    </w:p>
    <w:p w14:paraId="0B94631F" w14:textId="77777777" w:rsidR="007228C1" w:rsidRDefault="008B423D">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56AB59B4" w14:textId="77777777" w:rsidR="007228C1" w:rsidRDefault="007228C1">
      <w:pPr>
        <w:rPr>
          <w:sz w:val="24"/>
          <w:szCs w:val="24"/>
        </w:rPr>
      </w:pPr>
    </w:p>
    <w:p w14:paraId="069D2623" w14:textId="77777777" w:rsidR="007228C1" w:rsidRDefault="007228C1">
      <w:pPr>
        <w:pStyle w:val="a0"/>
        <w:ind w:firstLine="440"/>
        <w:rPr>
          <w:sz w:val="22"/>
          <w:szCs w:val="22"/>
        </w:rPr>
      </w:pPr>
    </w:p>
    <w:p w14:paraId="55CCB4BA" w14:textId="77777777" w:rsidR="007228C1" w:rsidRDefault="007228C1">
      <w:pPr>
        <w:pStyle w:val="a0"/>
        <w:ind w:firstLine="440"/>
        <w:rPr>
          <w:sz w:val="22"/>
          <w:szCs w:val="22"/>
        </w:rPr>
      </w:pPr>
    </w:p>
    <w:p w14:paraId="293E1D43" w14:textId="77777777" w:rsidR="007228C1" w:rsidRDefault="007228C1">
      <w:pPr>
        <w:pStyle w:val="a0"/>
        <w:ind w:firstLine="440"/>
        <w:rPr>
          <w:sz w:val="22"/>
          <w:szCs w:val="22"/>
        </w:rPr>
      </w:pPr>
    </w:p>
    <w:p w14:paraId="4EF55713" w14:textId="77777777" w:rsidR="007228C1" w:rsidRDefault="007228C1">
      <w:pPr>
        <w:pStyle w:val="a0"/>
        <w:ind w:firstLine="440"/>
        <w:rPr>
          <w:sz w:val="22"/>
          <w:szCs w:val="22"/>
        </w:rPr>
      </w:pPr>
    </w:p>
    <w:p w14:paraId="351A5589" w14:textId="77777777" w:rsidR="007228C1" w:rsidRDefault="007228C1">
      <w:pPr>
        <w:pStyle w:val="a0"/>
        <w:ind w:firstLine="440"/>
        <w:rPr>
          <w:sz w:val="22"/>
          <w:szCs w:val="22"/>
        </w:rPr>
      </w:pPr>
    </w:p>
    <w:p w14:paraId="4E50363F" w14:textId="77777777" w:rsidR="007228C1" w:rsidRDefault="007228C1">
      <w:pPr>
        <w:pStyle w:val="a0"/>
        <w:ind w:firstLine="440"/>
        <w:rPr>
          <w:sz w:val="22"/>
          <w:szCs w:val="22"/>
        </w:rPr>
      </w:pPr>
    </w:p>
    <w:p w14:paraId="763DE1AE" w14:textId="77777777" w:rsidR="007228C1" w:rsidRDefault="007228C1">
      <w:pPr>
        <w:pStyle w:val="a0"/>
        <w:ind w:firstLine="440"/>
        <w:rPr>
          <w:sz w:val="22"/>
          <w:szCs w:val="22"/>
        </w:rPr>
      </w:pPr>
    </w:p>
    <w:p w14:paraId="3F07C566" w14:textId="77777777" w:rsidR="007228C1" w:rsidRDefault="007228C1">
      <w:pPr>
        <w:pStyle w:val="a0"/>
        <w:ind w:firstLine="440"/>
        <w:rPr>
          <w:sz w:val="22"/>
          <w:szCs w:val="22"/>
        </w:rPr>
      </w:pPr>
    </w:p>
    <w:p w14:paraId="282CB731" w14:textId="77777777" w:rsidR="007228C1" w:rsidRDefault="007228C1">
      <w:pPr>
        <w:pStyle w:val="a0"/>
        <w:ind w:firstLine="440"/>
        <w:rPr>
          <w:sz w:val="22"/>
          <w:szCs w:val="22"/>
        </w:rPr>
      </w:pPr>
    </w:p>
    <w:p w14:paraId="567CA42C" w14:textId="77777777" w:rsidR="007228C1" w:rsidRDefault="007228C1">
      <w:pPr>
        <w:pStyle w:val="a0"/>
        <w:ind w:firstLine="440"/>
        <w:rPr>
          <w:sz w:val="22"/>
          <w:szCs w:val="22"/>
        </w:rPr>
      </w:pPr>
    </w:p>
    <w:p w14:paraId="06B30FDE" w14:textId="77777777" w:rsidR="007228C1" w:rsidRDefault="007228C1">
      <w:pPr>
        <w:pStyle w:val="a0"/>
        <w:ind w:firstLine="440"/>
        <w:rPr>
          <w:sz w:val="22"/>
          <w:szCs w:val="22"/>
        </w:rPr>
      </w:pPr>
    </w:p>
    <w:p w14:paraId="1E746FFF" w14:textId="77777777" w:rsidR="007228C1" w:rsidRDefault="007228C1">
      <w:pPr>
        <w:pStyle w:val="a0"/>
        <w:ind w:firstLine="440"/>
        <w:rPr>
          <w:sz w:val="22"/>
          <w:szCs w:val="22"/>
        </w:rPr>
      </w:pPr>
    </w:p>
    <w:p w14:paraId="73F953E3" w14:textId="77777777" w:rsidR="007228C1" w:rsidRDefault="007228C1">
      <w:pPr>
        <w:pStyle w:val="a0"/>
        <w:ind w:firstLine="440"/>
        <w:rPr>
          <w:sz w:val="22"/>
          <w:szCs w:val="22"/>
        </w:rPr>
      </w:pPr>
    </w:p>
    <w:p w14:paraId="3F142BE4" w14:textId="77777777" w:rsidR="007228C1" w:rsidRDefault="007228C1">
      <w:pPr>
        <w:pStyle w:val="a0"/>
        <w:ind w:firstLine="440"/>
        <w:rPr>
          <w:sz w:val="22"/>
          <w:szCs w:val="22"/>
        </w:rPr>
      </w:pPr>
    </w:p>
    <w:p w14:paraId="03E4B08F" w14:textId="77777777" w:rsidR="007228C1" w:rsidRDefault="007228C1">
      <w:pPr>
        <w:pStyle w:val="a0"/>
        <w:ind w:firstLine="440"/>
        <w:rPr>
          <w:sz w:val="22"/>
          <w:szCs w:val="22"/>
        </w:rPr>
      </w:pPr>
    </w:p>
    <w:p w14:paraId="7756128C" w14:textId="77777777" w:rsidR="007228C1" w:rsidRDefault="007228C1">
      <w:pPr>
        <w:pStyle w:val="a0"/>
        <w:ind w:firstLine="440"/>
        <w:rPr>
          <w:sz w:val="22"/>
          <w:szCs w:val="22"/>
        </w:rPr>
      </w:pPr>
    </w:p>
    <w:p w14:paraId="3C127255" w14:textId="77777777" w:rsidR="007228C1" w:rsidRDefault="007228C1">
      <w:pPr>
        <w:pStyle w:val="a0"/>
        <w:ind w:firstLine="440"/>
        <w:rPr>
          <w:sz w:val="22"/>
          <w:szCs w:val="22"/>
        </w:rPr>
      </w:pPr>
    </w:p>
    <w:p w14:paraId="2AB8E8E4" w14:textId="77777777" w:rsidR="007228C1" w:rsidRDefault="007228C1">
      <w:pPr>
        <w:pStyle w:val="a0"/>
        <w:ind w:firstLine="440"/>
        <w:rPr>
          <w:sz w:val="22"/>
          <w:szCs w:val="22"/>
        </w:rPr>
      </w:pPr>
    </w:p>
    <w:p w14:paraId="12CB4DA5" w14:textId="77777777" w:rsidR="007228C1" w:rsidRDefault="008B423D">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1C6E6C1D"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53365EB7"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67DC6593"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0D31A31B"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444AE919"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08DD36F5" w14:textId="77777777" w:rsidR="007228C1" w:rsidRDefault="008B423D">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2992046F"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61C0EF56"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w:t>
      </w:r>
      <w:r>
        <w:rPr>
          <w:rFonts w:ascii="宋体" w:hAnsi="宋体" w:cs="宋体"/>
          <w:sz w:val="22"/>
          <w:szCs w:val="24"/>
        </w:rPr>
        <w:t>甲方拥有管理和运用理财资金的权利。</w:t>
      </w:r>
    </w:p>
    <w:p w14:paraId="41AAAE5A"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4BEF930D"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40E94A31"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50D005ED"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578043EA"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w:t>
      </w:r>
      <w:r>
        <w:rPr>
          <w:rFonts w:ascii="宋体" w:hAnsi="宋体" w:cs="宋体"/>
          <w:sz w:val="22"/>
          <w:szCs w:val="24"/>
        </w:rPr>
        <w:t>运作的需要选任必要的业务合作机构</w:t>
      </w:r>
      <w:r>
        <w:rPr>
          <w:rFonts w:ascii="宋体" w:hAnsi="宋体" w:cs="宋体" w:hint="eastAsia"/>
          <w:sz w:val="22"/>
          <w:szCs w:val="24"/>
        </w:rPr>
        <w:t>，并确定合作模式等相关内容。</w:t>
      </w:r>
    </w:p>
    <w:p w14:paraId="6EBA5AA5"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7E3468B2"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3BA15F23"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2</w:t>
      </w:r>
      <w:r>
        <w:rPr>
          <w:rFonts w:ascii="宋体" w:hAnsi="宋体" w:cs="宋体" w:hint="eastAsia"/>
          <w:sz w:val="22"/>
          <w:szCs w:val="24"/>
        </w:rPr>
        <w:t>）若因市场情况等发生变化或是出于维护本理财产品正常运营或管理的需要，或基于甲方合理认定的其他情形，甲方有权单方面对本理财产品的销售文件进行修订，包括</w:t>
      </w:r>
      <w:r>
        <w:rPr>
          <w:rFonts w:ascii="宋体" w:hAnsi="宋体" w:cs="宋体" w:hint="eastAsia"/>
          <w:sz w:val="22"/>
          <w:szCs w:val="24"/>
        </w:rPr>
        <w:t>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8CB9FE7"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w:t>
      </w:r>
      <w:r>
        <w:rPr>
          <w:rFonts w:ascii="宋体" w:hAnsi="宋体" w:cs="宋体" w:hint="eastAsia"/>
          <w:sz w:val="22"/>
          <w:szCs w:val="24"/>
        </w:rPr>
        <w:t>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76C220C1"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106F8307"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21026136"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73581AE6"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160CD1EF" w14:textId="77777777" w:rsidR="007228C1" w:rsidRDefault="008B423D">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04DE725A"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64D5A6D5"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736E25CC"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63ACFCF1"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w:t>
      </w:r>
      <w:r>
        <w:rPr>
          <w:rFonts w:ascii="宋体" w:hAnsi="宋体" w:cs="宋体" w:hint="eastAsia"/>
          <w:sz w:val="22"/>
          <w:szCs w:val="24"/>
        </w:rPr>
        <w:t>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w:t>
      </w:r>
      <w:r>
        <w:rPr>
          <w:rFonts w:ascii="宋体" w:hAnsi="宋体" w:cs="宋体" w:hint="eastAsia"/>
          <w:sz w:val="22"/>
          <w:szCs w:val="24"/>
        </w:rPr>
        <w:t>前终止本协议，造成乙方损失的，甲方不承担责任。</w:t>
      </w:r>
    </w:p>
    <w:p w14:paraId="7E7090E0" w14:textId="77777777" w:rsidR="007228C1" w:rsidRDefault="008B423D">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3F72CDB9"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24AFEDC"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w:t>
      </w:r>
      <w:r>
        <w:rPr>
          <w:rFonts w:ascii="宋体" w:hAnsi="宋体" w:cs="宋体" w:hint="eastAsia"/>
          <w:sz w:val="22"/>
          <w:szCs w:val="24"/>
        </w:rPr>
        <w:t>保密信息承担保密义务，乙方承诺不以任何方式向任何第三方披露甲方或销售机构的保密信息，法律法规另有规定的除外。</w:t>
      </w:r>
    </w:p>
    <w:p w14:paraId="022010CC"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2331118B"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2C7AB427"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7A5DFE8D"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w:t>
      </w:r>
      <w:r>
        <w:rPr>
          <w:rFonts w:ascii="宋体" w:hAnsi="宋体" w:cs="宋体" w:hint="eastAsia"/>
          <w:sz w:val="22"/>
          <w:szCs w:val="24"/>
        </w:rPr>
        <w:t>在电子渠道仔细阅读本协议的所有条款，对本协议条款的含义及相应的法律后果应全部知晓并充分理解，同意接受本协议条款。本协议自乙方成功缴纳购买资金并经甲方系统确认购买份额后成立并生效。</w:t>
      </w:r>
    </w:p>
    <w:p w14:paraId="02FB64E2"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0159D6BF"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6E900A0B"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w:t>
      </w:r>
      <w:r>
        <w:rPr>
          <w:rFonts w:ascii="宋体" w:hAnsi="宋体" w:cs="宋体" w:hint="eastAsia"/>
          <w:sz w:val="22"/>
          <w:szCs w:val="24"/>
        </w:rPr>
        <w:t>适当的方式通知乙方，并采取一切必要的补救措施以减少有关损失。由于国家的有关法律、法规、规章、政策的改变、紧急措施的出台而导致的风险，甲方不承担责任。</w:t>
      </w:r>
    </w:p>
    <w:p w14:paraId="26DE42BA" w14:textId="77777777" w:rsidR="007228C1" w:rsidRDefault="008B423D">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37B28E3F"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5807D4F6"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3F81C58C"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70846013" w14:textId="77777777" w:rsidR="007228C1" w:rsidRDefault="007228C1">
      <w:pPr>
        <w:pStyle w:val="1"/>
        <w:spacing w:line="360" w:lineRule="auto"/>
        <w:ind w:firstLine="440"/>
        <w:rPr>
          <w:rFonts w:ascii="宋体" w:hAnsi="宋体" w:cs="宋体"/>
          <w:sz w:val="22"/>
          <w:szCs w:val="24"/>
        </w:rPr>
      </w:pPr>
    </w:p>
    <w:p w14:paraId="2166BF67" w14:textId="77777777" w:rsidR="007228C1" w:rsidRDefault="008B423D">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7DC987B0" w14:textId="77777777" w:rsidR="007228C1" w:rsidRDefault="008B423D">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376770C3" w14:textId="77777777" w:rsidR="007228C1" w:rsidRDefault="007228C1">
      <w:pPr>
        <w:pStyle w:val="1"/>
        <w:spacing w:line="360" w:lineRule="auto"/>
        <w:ind w:firstLine="440"/>
        <w:rPr>
          <w:rFonts w:ascii="宋体" w:hAnsi="宋体" w:cs="宋体"/>
          <w:sz w:val="22"/>
          <w:szCs w:val="24"/>
        </w:rPr>
      </w:pPr>
    </w:p>
    <w:p w14:paraId="165DAC34" w14:textId="77777777" w:rsidR="007228C1" w:rsidRDefault="008B423D">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2A405AF" w14:textId="77777777" w:rsidR="007228C1" w:rsidRDefault="007228C1">
      <w:pPr>
        <w:spacing w:line="240" w:lineRule="exact"/>
        <w:rPr>
          <w:sz w:val="22"/>
        </w:rPr>
      </w:pPr>
    </w:p>
    <w:p w14:paraId="097AC64C" w14:textId="77777777" w:rsidR="007228C1" w:rsidRDefault="007228C1">
      <w:pPr>
        <w:widowControl/>
        <w:jc w:val="left"/>
      </w:pPr>
    </w:p>
    <w:p w14:paraId="4615FC2B" w14:textId="77777777" w:rsidR="007228C1" w:rsidRDefault="007228C1"/>
    <w:p w14:paraId="5477DE0E" w14:textId="77777777" w:rsidR="007228C1" w:rsidRDefault="007228C1">
      <w:pPr>
        <w:pStyle w:val="a0"/>
        <w:ind w:firstLine="440"/>
        <w:rPr>
          <w:sz w:val="22"/>
          <w:szCs w:val="22"/>
        </w:rPr>
      </w:pPr>
    </w:p>
    <w:p>
      <w:r>
        <w:br w:type="page"/>
      </w:r>
    </w:p>
    <w:sectPr w:rsidR="005A54B0">
      <w:headerReference w:type="default" r:id="rId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6ABA" w:rsidRDefault="007A6ABA">
      <w:r>
        <w:separator/>
      </w:r>
    </w:p>
  </w:endnote>
  <w:endnote w:type="continuationSeparator" w:id="0">
    <w:p w:rsidR="007A6ABA" w:rsidRDefault="007A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ialog">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6ABA" w:rsidRDefault="007A6ABA">
      <w:r>
        <w:separator/>
      </w:r>
    </w:p>
  </w:footnote>
  <w:footnote w:type="continuationSeparator" w:id="0">
    <w:p w:rsidR="007A6ABA" w:rsidRDefault="007A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4B0" w:rsidRDefault="007A6ABA">
    <w:pPr>
      <w:pStyle w:val="a5"/>
      <w:pBdr>
        <w:bottom w:val="single" w:sz="4" w:space="1" w:color="auto"/>
      </w:pBdr>
      <w:jc w:val="right"/>
    </w:pPr>
    <w:r>
      <w:t xml:space="preserve">   </w:t>
    </w:r>
    <w:r>
      <w:rPr>
        <w:rFonts w:ascii="宋体" w:hint="eastAsia"/>
      </w:rPr>
      <w:t>南银理财理财产品销售文件（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5A2D6"/>
    <w:multiLevelType w:val="multilevel"/>
    <w:tmpl w:val="64F5A2D6"/>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1" w15:restartNumberingAfterBreak="0">
    <w:nsid w:val="64F5A2E2"/>
    <w:multiLevelType w:val="multilevel"/>
    <w:tmpl w:val="64F5A2E2"/>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64F5A2ED"/>
    <w:multiLevelType w:val="multilevel"/>
    <w:tmpl w:val="64F5A2ED"/>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3" w15:restartNumberingAfterBreak="0">
    <w:nsid w:val="64F5A2F8"/>
    <w:multiLevelType w:val="multilevel"/>
    <w:tmpl w:val="64F5A2F8"/>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4" w15:restartNumberingAfterBreak="0">
    <w:nsid w:val="00BCF3CB"/>
    <w:multiLevelType w:val="singleLevel"/>
    <w:tmpl w:val="05DA5C12"/>
    <w:lvl w:ilvl="0">
      <w:start w:val="1"/>
      <w:numFmt w:val="decimal"/>
      <w:suff w:val="nothing"/>
      <w:lvlText w:val="%1."/>
      <w:lvlJc w:val="left"/>
    </w:lvl>
  </w:abstractNum>
  <w:abstractNum w:abstractNumId="5" w15:restartNumberingAfterBreak="0">
    <w:nsid w:val="026ADE82"/>
    <w:multiLevelType w:val="singleLevel"/>
    <w:tmpl w:val="014409BF"/>
    <w:lvl w:ilvl="0">
      <w:start w:val="1"/>
      <w:numFmt w:val="decimal"/>
      <w:suff w:val="nothing"/>
      <w:lvlText w:val="（%1）"/>
      <w:lvlJc w:val="left"/>
    </w:lvl>
  </w:abstractNum>
  <w:abstractNum w:abstractNumId="6" w15:restartNumberingAfterBreak="0">
    <w:nsid w:val="05B03F92"/>
    <w:multiLevelType w:val="singleLevel"/>
    <w:tmpl w:val="02519EC2"/>
    <w:lvl w:ilvl="0">
      <w:start w:val="1"/>
      <w:numFmt w:val="decimal"/>
      <w:suff w:val="nothing"/>
      <w:lvlText w:val="（%1）"/>
      <w:lvlJc w:val="left"/>
    </w:lvl>
  </w:abstractNum>
  <w:abstractNum w:abstractNumId="7" w15:restartNumberingAfterBreak="0">
    <w:nsid w:val="01D687A0"/>
    <w:multiLevelType w:val="singleLevel"/>
    <w:tmpl w:val="022BB7FB"/>
    <w:lvl w:ilvl="0">
      <w:start w:val="1"/>
      <w:numFmt w:val="decimal"/>
      <w:suff w:val="nothing"/>
      <w:lvlText w:val="（%1）"/>
      <w:lvlJc w:val="left"/>
    </w:lvl>
  </w:abstractNum>
  <w:abstractNum w:abstractNumId="8" w15:restartNumberingAfterBreak="0">
    <w:nsid w:val="03C89290"/>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3C4342E"/>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27833DE"/>
    <w:multiLevelType w:val="singleLevel"/>
    <w:tmpl w:val="04FF9615"/>
    <w:lvl w:ilvl="0">
      <w:start w:val="1"/>
      <w:numFmt w:val="decimal"/>
      <w:suff w:val="nothing"/>
      <w:lvlText w:val="（%1）"/>
      <w:lvlJc w:val="left"/>
    </w:lvl>
  </w:abstractNum>
  <w:abstractNum w:abstractNumId="11" w15:restartNumberingAfterBreak="0">
    <w:nsid w:val="0073FCA4"/>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1ECA150"/>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0438C1F"/>
    <w:multiLevelType w:val="singleLevel"/>
    <w:tmpl w:val="02B79C19"/>
    <w:lvl w:ilvl="0">
      <w:start w:val="1"/>
      <w:numFmt w:val="decimal"/>
      <w:suff w:val="nothing"/>
      <w:lvlText w:val="（%1）"/>
      <w:lvlJc w:val="left"/>
    </w:lvl>
  </w:abstractNum>
  <w:num w:numId="1" w16cid:durableId="142966570">
    <w:abstractNumId w:val="0"/>
  </w:num>
  <w:num w:numId="2" w16cid:durableId="411319064">
    <w:abstractNumId w:val="1"/>
  </w:num>
  <w:num w:numId="3" w16cid:durableId="131019000">
    <w:abstractNumId w:val="2"/>
  </w:num>
  <w:num w:numId="5" w16cid:durableId="682317437">
    <w:abstractNumId w:val="4"/>
  </w:num>
  <w:num w:numId="6" w16cid:durableId="1131174488">
    <w:abstractNumId w:val="5"/>
  </w:num>
  <w:num w:numId="7" w16cid:durableId="1848405636">
    <w:abstractNumId w:val="6"/>
  </w:num>
  <w:num w:numId="8" w16cid:durableId="711347083">
    <w:abstractNumId w:val="6"/>
    <w:lvlOverride w:ilvl="0">
      <w:startOverride w:val="1"/>
    </w:lvlOverride>
  </w:num>
  <w:num w:numId="9" w16cid:durableId="537738975">
    <w:abstractNumId w:val="7"/>
  </w:num>
  <w:num w:numId="10" w16cid:durableId="1847555229">
    <w:abstractNumId w:val="8"/>
    <w:lvlOverride w:ilvl="0">
      <w:startOverride w:val="1"/>
    </w:lvlOverride>
  </w:num>
  <w:num w:numId="11" w16cid:durableId="1847555229">
    <w:abstractNumId w:val="8"/>
    <w:lvlOverride w:ilvl="0">
      <w:startOverride w:val="1"/>
    </w:lvlOverride>
    <w:lvlOverride w:ilvl="0">
      <w:startOverride w:val="1"/>
    </w:lvlOverride>
  </w:num>
  <w:num w:numId="12" w16cid:durableId="1155219824">
    <w:abstractNumId w:val="9"/>
  </w:num>
  <w:num w:numId="13" w16cid:durableId="412239069">
    <w:abstractNumId w:val="10"/>
  </w:num>
  <w:num w:numId="14" w16cid:durableId="862479397">
    <w:abstractNumId w:val="11"/>
  </w:num>
  <w:num w:numId="15" w16cid:durableId="1699356383">
    <w:abstractNumId w:val="12"/>
  </w:num>
  <w:num w:numId="16" w16cid:durableId="1589459279">
    <w:abstractNumId w:val="13"/>
  </w:num>
  <w:num w:numId="4" w16cid:durableId="1375538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965BF1"/>
    <w:rsid w:val="003D0462"/>
    <w:rsid w:val="005A54B0"/>
    <w:rsid w:val="005D7A15"/>
    <w:rsid w:val="007A6ABA"/>
    <w:rsid w:val="00965BF1"/>
    <w:rsid w:val="00C91267"/>
    <w:rsid w:val="28FA2ACD"/>
    <w:rsid w:val="2E4A66B2"/>
    <w:rsid w:val="36BF1B2A"/>
    <w:rsid w:val="4BE77592"/>
    <w:rsid w:val="53BC79C0"/>
    <w:rsid w:val="58C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2945AF-CB09-4560-AD26-7BCAEBA3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18"/>
      <w:szCs w:val="18"/>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TOC5">
    <w:name w:val="toc 5"/>
    <w:basedOn w:val="a"/>
    <w:next w:val="a"/>
    <w:qFormat/>
    <w:pPr>
      <w:ind w:left="1680"/>
    </w:pPr>
  </w:style>
  <w:style w:type="paragraph" w:styleId="TOC3">
    <w:name w:val="toc 3"/>
    <w:basedOn w:val="a"/>
    <w:next w:val="a"/>
    <w:qFormat/>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TOC1">
    <w:name w:val="toc 1"/>
    <w:basedOn w:val="a"/>
    <w:next w:val="a"/>
    <w:qFormat/>
  </w:style>
  <w:style w:type="paragraph" w:styleId="TOC4">
    <w:name w:val="toc 4"/>
    <w:basedOn w:val="a"/>
    <w:next w:val="a"/>
    <w:qFormat/>
    <w:pPr>
      <w:ind w:left="1260"/>
    </w:pPr>
  </w:style>
  <w:style w:type="paragraph" w:styleId="TOC2">
    <w:name w:val="toc 2"/>
    <w:basedOn w:val="a"/>
    <w:next w:val="a"/>
    <w:qFormat/>
    <w:pPr>
      <w:ind w:left="420"/>
    </w:pPr>
  </w:style>
  <w:style w:type="paragraph" w:styleId="a6">
    <w:name w:val="Normal (Web)"/>
    <w:next w:val="TOC1"/>
    <w:qFormat/>
    <w:pPr>
      <w:spacing w:before="102" w:after="102" w:line="1099" w:lineRule="atLeast"/>
      <w:ind w:firstLine="419"/>
      <w:textAlignment w:val="baseline"/>
    </w:pPr>
    <w:rPr>
      <w:sz w:val="24"/>
      <w:szCs w:val="24"/>
    </w:rPr>
  </w:style>
  <w:style w:type="paragraph" w:customStyle="1" w:styleId="10">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a068a352">
    <w:name w:val="Normala068a352"/>
    <w:next w:val="a0"/>
    <w:qFormat/>
    <w:pPr>
      <w:widowControl w:val="0"/>
      <w:jc w:val="both"/>
    </w:pPr>
    <w:rPr>
      <w:kern w:val="2"/>
      <w:sz w:val="21"/>
      <w:szCs w:val="21"/>
    </w:rPr>
  </w:style>
  <w:style w:type="paragraph" w:customStyle="1" w:styleId="heading19d5d4cc6">
    <w:name w:val="heading 19d5d4cc6"/>
    <w:basedOn w:val="Normala068a352"/>
    <w:next w:val="a"/>
    <w:qFormat/>
    <w:pPr>
      <w:keepNext/>
      <w:keepLines/>
      <w:spacing w:before="340" w:after="330" w:line="578" w:lineRule="auto"/>
      <w:outlineLvl w:val="0"/>
    </w:pPr>
    <w:rPr>
      <w:b/>
      <w:bCs/>
      <w:kern w:val="44"/>
      <w:sz w:val="44"/>
    </w:rPr>
  </w:style>
  <w:style w:type="paragraph" w:customStyle="1" w:styleId="heading2567418c8">
    <w:name w:val="heading 2567418c8"/>
    <w:basedOn w:val="Normala068a352"/>
    <w:next w:val="a"/>
    <w:qFormat/>
    <w:pPr>
      <w:keepNext/>
      <w:keepLines/>
      <w:spacing w:before="260" w:after="260" w:line="415" w:lineRule="auto"/>
      <w:outlineLvl w:val="1"/>
    </w:pPr>
    <w:rPr>
      <w:rFonts w:ascii="Luxi Sans" w:eastAsia="黑体" w:hAnsi="Luxi Sans"/>
      <w:b/>
      <w:sz w:val="32"/>
    </w:rPr>
  </w:style>
  <w:style w:type="paragraph" w:customStyle="1" w:styleId="heading3c34e481d">
    <w:name w:val="heading 3c34e481d"/>
    <w:basedOn w:val="Normala068a352"/>
    <w:next w:val="a"/>
    <w:qFormat/>
    <w:pPr>
      <w:keepNext/>
      <w:keepLines/>
      <w:spacing w:before="260" w:after="260" w:line="415" w:lineRule="auto"/>
      <w:outlineLvl w:val="2"/>
    </w:pPr>
    <w:rPr>
      <w:b/>
      <w:sz w:val="32"/>
    </w:rPr>
  </w:style>
  <w:style w:type="character" w:customStyle="1" w:styleId="DefaultParagraphFont373781bf">
    <w:name w:val="Default Paragraph Font373781bf"/>
    <w:qFormat/>
  </w:style>
  <w:style w:type="paragraph" w:customStyle="1" w:styleId="11a4c93ae">
    <w:name w:val="引文目录11a4c93ae"/>
    <w:basedOn w:val="Normala068a352"/>
    <w:next w:val="a"/>
    <w:qFormat/>
    <w:pPr>
      <w:ind w:leftChars="200" w:left="200"/>
    </w:pPr>
  </w:style>
  <w:style w:type="paragraph" w:customStyle="1" w:styleId="toc52c10906a">
    <w:name w:val="toc 52c10906a"/>
    <w:basedOn w:val="Normala068a352"/>
    <w:next w:val="a"/>
    <w:qFormat/>
    <w:pPr>
      <w:ind w:left="1680"/>
    </w:pPr>
  </w:style>
  <w:style w:type="paragraph" w:customStyle="1" w:styleId="toc37c07d6c1">
    <w:name w:val="toc 37c07d6c1"/>
    <w:basedOn w:val="Normala068a352"/>
    <w:next w:val="a"/>
    <w:qFormat/>
    <w:pPr>
      <w:ind w:left="840"/>
    </w:pPr>
  </w:style>
  <w:style w:type="paragraph" w:customStyle="1" w:styleId="footer7b816707">
    <w:name w:val="footer7b816707"/>
    <w:basedOn w:val="Normala068a352"/>
    <w:qFormat/>
    <w:pPr>
      <w:tabs>
        <w:tab w:val="center" w:pos="4153"/>
        <w:tab w:val="right" w:pos="8307"/>
      </w:tabs>
      <w:snapToGrid w:val="0"/>
      <w:jc w:val="left"/>
    </w:pPr>
    <w:rPr>
      <w:sz w:val="18"/>
    </w:rPr>
  </w:style>
  <w:style w:type="paragraph" w:customStyle="1" w:styleId="header04f3efda">
    <w:name w:val="header04f3efda"/>
    <w:basedOn w:val="Normala068a352"/>
    <w:qFormat/>
    <w:pPr>
      <w:pBdr>
        <w:bottom w:val="single" w:sz="6" w:space="1" w:color="auto"/>
      </w:pBdr>
      <w:tabs>
        <w:tab w:val="center" w:pos="4153"/>
        <w:tab w:val="right" w:pos="8307"/>
      </w:tabs>
      <w:snapToGrid w:val="0"/>
      <w:jc w:val="center"/>
    </w:pPr>
    <w:rPr>
      <w:sz w:val="18"/>
    </w:rPr>
  </w:style>
  <w:style w:type="paragraph" w:customStyle="1" w:styleId="toc1d13837b0">
    <w:name w:val="toc 1d13837b0"/>
    <w:basedOn w:val="Normala068a352"/>
    <w:next w:val="a"/>
    <w:qFormat/>
  </w:style>
  <w:style w:type="paragraph" w:customStyle="1" w:styleId="toc47a2d6df5">
    <w:name w:val="toc 47a2d6df5"/>
    <w:basedOn w:val="Normala068a352"/>
    <w:next w:val="a"/>
    <w:qFormat/>
    <w:pPr>
      <w:ind w:left="1260"/>
    </w:pPr>
  </w:style>
  <w:style w:type="paragraph" w:customStyle="1" w:styleId="toc2896b0310">
    <w:name w:val="toc 2896b0310"/>
    <w:basedOn w:val="Normala068a352"/>
    <w:next w:val="a"/>
    <w:qFormat/>
    <w:pPr>
      <w:ind w:left="420"/>
    </w:pPr>
  </w:style>
  <w:style w:type="paragraph" w:customStyle="1" w:styleId="10a4cfce4">
    <w:name w:val="列出段落10a4cfce4"/>
    <w:next w:val="TOC2"/>
    <w:qFormat/>
    <w:pPr>
      <w:widowControl w:val="0"/>
      <w:ind w:firstLineChars="200" w:firstLine="200"/>
      <w:jc w:val="both"/>
    </w:pPr>
    <w:rPr>
      <w:kern w:val="2"/>
      <w:sz w:val="21"/>
      <w:szCs w:val="21"/>
    </w:rPr>
  </w:style>
  <w:style w:type="paragraph" w:customStyle="1" w:styleId="Normalbf4b20c5">
    <w:name w:val="Normalbf4b20c5"/>
    <w:qFormat/>
    <w:pPr>
      <w:widowControl w:val="0"/>
      <w:jc w:val="both"/>
    </w:pPr>
    <w:rPr>
      <w:rFonts w:ascii="Calibri" w:hAnsi="Calibri"/>
      <w:kern w:val="2"/>
      <w:sz w:val="21"/>
      <w:szCs w:val="21"/>
    </w:rPr>
  </w:style>
  <w:style w:type="paragraph" w:customStyle="1" w:styleId="annotationtext23">
    <w:name w:val="annotation text23"/>
    <w:next w:val="TOC1"/>
    <w:qFormat/>
    <w:pPr>
      <w:widowControl w:val="0"/>
    </w:pPr>
    <w:rPr>
      <w:rFonts w:ascii="Calibri" w:hAnsi="Calibri"/>
      <w:kern w:val="2"/>
      <w:sz w:val="21"/>
      <w:szCs w:val="21"/>
    </w:rPr>
  </w:style>
  <w:style w:type="paragraph" w:styleId="a7">
    <w:name w:val="Revision"/>
    <w:hidden/>
    <w:uiPriority w:val="99"/>
    <w:unhideWhenUsed/>
    <w:rsid w:val="007A6ABA"/>
    <w:rPr>
      <w:kern w:val="2"/>
      <w:sz w:val="18"/>
      <w:szCs w:val="18"/>
    </w:rPr>
  </w:style>
  <w:style w:type="character" w:styleId="a8">
    <w:name w:val="Hyperlink"/>
    <w:uiPriority w:val="99"/>
    <w:qFormat/>
    <w:rPr>
      <w:color w:val="0000FF"/>
      <w:u w:val="single"/>
    </w:rPr>
  </w:style>
  <w:style w:type="character" w:customStyle="1" w:styleId="fontstyle01">
    <w:name w:val="fontstyle01"/>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yperlink" Target="http://www.szs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3618</Words>
  <Characters>20623</Characters>
  <Application>Microsoft Office Word</Application>
  <DocSecurity>0</DocSecurity>
  <Lines>171</Lines>
  <Paragraphs>48</Paragraphs>
  <ScaleCrop>false</ScaleCrop>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2023-10-20T02:14:00Z</dcterms:created>
  <dcterms:modified xsi:type="dcterms:W3CDTF">2023-10-20T02:14:00Z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ies>
</file>