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0B97" w:rsidRDefault="0077115A">
      <w:pPr>
        <w:spacing w:line="0" w:lineRule="atLeast"/>
        <w:jc w:val="center"/>
        <w:rPr>
          <w:b/>
          <w:bCs/>
          <w:kern w:val="0"/>
          <w:sz w:val="24"/>
          <w:szCs w:val="24"/>
        </w:rPr>
      </w:pPr>
      <w:r>
        <w:rPr>
          <w:rFonts w:hint="eastAsia"/>
          <w:b/>
          <w:bCs/>
          <w:kern w:val="0"/>
          <w:sz w:val="24"/>
          <w:szCs w:val="24"/>
        </w:rPr>
        <w:t>理财产品风险揭示书</w:t>
      </w:r>
    </w:p>
    <w:p w:rsidR="00BD0B97" w:rsidRDefault="0077115A">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D0B97" w:rsidRDefault="0077115A">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BD0B97" w:rsidRDefault="0077115A">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BD0B97" w:rsidRDefault="0077115A">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BD0B97" w:rsidRDefault="0077115A">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BD0B97" w:rsidRDefault="0077115A">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BD0B97" w:rsidRDefault="0077115A">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BD0B97" w:rsidRDefault="0077115A">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BD0B97" w:rsidRDefault="0077115A">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BD0B97" w:rsidRDefault="0077115A">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BD0B97" w:rsidRDefault="0077115A">
      <w:pPr>
        <w:pStyle w:val="Normal76404a0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BD0B97" w:rsidRDefault="0077115A">
      <w:pPr>
        <w:spacing w:line="200" w:lineRule="exact"/>
      </w:pPr>
      <w:r>
        <w:rPr>
          <w:rFonts w:cs="宋体"/>
          <w:b/>
          <w:sz w:val="13"/>
          <w:szCs w:val="20"/>
        </w:rPr>
        <w:t xml:space="preserve">    1.</w:t>
      </w:r>
      <w:r>
        <w:rPr>
          <w:rFonts w:cs="宋体"/>
          <w:b/>
          <w:sz w:val="13"/>
          <w:szCs w:val="20"/>
        </w:rPr>
        <w:t>债券类资产投资风险</w:t>
      </w:r>
    </w:p>
    <w:p w:rsidR="00BD0B97" w:rsidRDefault="0077115A">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BD0B97" w:rsidRDefault="0077115A">
      <w:pPr>
        <w:spacing w:line="200" w:lineRule="exact"/>
      </w:pPr>
      <w:r>
        <w:rPr>
          <w:rFonts w:cs="宋体"/>
          <w:b/>
          <w:sz w:val="13"/>
          <w:szCs w:val="20"/>
        </w:rPr>
        <w:t xml:space="preserve">    2.</w:t>
      </w:r>
      <w:r>
        <w:rPr>
          <w:rFonts w:cs="宋体"/>
          <w:b/>
          <w:sz w:val="13"/>
          <w:szCs w:val="20"/>
        </w:rPr>
        <w:t>非标准化债权类资产投资风险</w:t>
      </w:r>
    </w:p>
    <w:p w:rsidR="00BD0B97" w:rsidRDefault="0077115A">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BD0B97" w:rsidRDefault="0077115A">
      <w:pPr>
        <w:spacing w:line="200" w:lineRule="exact"/>
      </w:pPr>
      <w:r>
        <w:rPr>
          <w:rFonts w:cs="宋体"/>
          <w:b/>
          <w:sz w:val="13"/>
          <w:szCs w:val="20"/>
        </w:rPr>
        <w:t xml:space="preserve">    3.</w:t>
      </w:r>
      <w:r>
        <w:rPr>
          <w:rFonts w:cs="宋体"/>
          <w:b/>
          <w:sz w:val="13"/>
          <w:szCs w:val="20"/>
        </w:rPr>
        <w:t>资产管理产品投资风险</w:t>
      </w:r>
    </w:p>
    <w:p w:rsidR="00BD0B97" w:rsidRDefault="0077115A">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BD0B97" w:rsidRDefault="0077115A">
      <w:pPr>
        <w:spacing w:line="200" w:lineRule="exact"/>
      </w:pPr>
      <w:r>
        <w:rPr>
          <w:rFonts w:cs="宋体"/>
          <w:b/>
          <w:sz w:val="13"/>
          <w:szCs w:val="20"/>
        </w:rPr>
        <w:t xml:space="preserve">    4.</w:t>
      </w:r>
      <w:r>
        <w:rPr>
          <w:rFonts w:cs="宋体"/>
          <w:b/>
          <w:sz w:val="13"/>
          <w:szCs w:val="20"/>
        </w:rPr>
        <w:t>非标准化债权类资产无法投资的风险</w:t>
      </w:r>
    </w:p>
    <w:p w:rsidR="00BD0B97" w:rsidRDefault="0077115A">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BD0B97" w:rsidRDefault="0077115A">
      <w:pPr>
        <w:pStyle w:val="Normal76404a03"/>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BD0B97" w:rsidRDefault="0077115A">
      <w:pPr>
        <w:pStyle w:val="Normal76404a03"/>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BD0B97" w:rsidRDefault="0077115A">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BD0B97" w:rsidRDefault="0077115A">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BD0B97" w:rsidRDefault="0077115A">
      <w:pPr>
        <w:pStyle w:val="Normal76404a03"/>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BD0B97" w:rsidRDefault="0077115A">
      <w:pPr>
        <w:pStyle w:val="Normal76404a0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BD0B97" w:rsidRDefault="0077115A">
      <w:pPr>
        <w:pStyle w:val="Normal76404a03"/>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BD0B97" w:rsidRDefault="0077115A">
      <w:pPr>
        <w:pStyle w:val="Normal76404a0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BD0B97" w:rsidRDefault="00BD0B97">
      <w:pPr>
        <w:pStyle w:val="Normal76404a03"/>
        <w:widowControl/>
        <w:spacing w:line="200" w:lineRule="exact"/>
        <w:ind w:firstLine="260"/>
        <w:rPr>
          <w:b/>
          <w:color w:val="3D3D3D"/>
          <w:kern w:val="0"/>
          <w:sz w:val="13"/>
          <w:szCs w:val="13"/>
        </w:rPr>
      </w:pPr>
    </w:p>
    <w:p w:rsidR="00BD0B97" w:rsidRDefault="0077115A">
      <w:pPr>
        <w:pStyle w:val="Normal76404a0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BD0B97" w:rsidRDefault="00BD0B97">
      <w:pPr>
        <w:pStyle w:val="Normal76404a03"/>
        <w:widowControl/>
        <w:spacing w:line="200" w:lineRule="exact"/>
        <w:ind w:firstLine="260"/>
        <w:jc w:val="center"/>
        <w:rPr>
          <w:b/>
          <w:color w:val="3D3D3D"/>
          <w:kern w:val="0"/>
          <w:sz w:val="15"/>
          <w:szCs w:val="15"/>
          <w:u w:val="single"/>
        </w:rPr>
      </w:pPr>
    </w:p>
    <w:p w:rsidR="00BD0B97" w:rsidRDefault="0077115A">
      <w:pPr>
        <w:pStyle w:val="Normal76404a03"/>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BD0B97" w:rsidRDefault="0077115A">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BD0B97" w:rsidRDefault="0077115A">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BD0B97" w:rsidRDefault="0077115A">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BD0B97" w:rsidRDefault="0077115A">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BD0B97" w:rsidRDefault="0077115A">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BD0B97" w:rsidRDefault="0077115A">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BD0B97" w:rsidRDefault="0077115A">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rsidR="00BD0B97" w:rsidRDefault="0077115A">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BD0B97" w:rsidRDefault="0077115A">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BD0B97" w:rsidRDefault="0077115A">
      <w:pPr>
        <w:widowControl/>
        <w:spacing w:line="200" w:lineRule="exact"/>
        <w:ind w:firstLine="210"/>
        <w:rPr>
          <w:color w:val="3D3D3D"/>
          <w:kern w:val="0"/>
          <w:sz w:val="15"/>
          <w:szCs w:val="15"/>
        </w:rPr>
      </w:pPr>
      <w:r>
        <w:rPr>
          <w:rFonts w:hint="eastAsia"/>
          <w:color w:val="3D3D3D"/>
          <w:kern w:val="0"/>
          <w:sz w:val="15"/>
          <w:szCs w:val="15"/>
        </w:rPr>
        <w:t xml:space="preserve">         </w:t>
      </w:r>
    </w:p>
    <w:p w:rsidR="00BD0B97" w:rsidRDefault="00BD0B97">
      <w:pPr>
        <w:widowControl/>
        <w:spacing w:line="200" w:lineRule="exact"/>
        <w:ind w:firstLine="210"/>
        <w:rPr>
          <w:color w:val="3D3D3D"/>
          <w:kern w:val="0"/>
          <w:sz w:val="15"/>
          <w:szCs w:val="15"/>
        </w:rPr>
      </w:pPr>
    </w:p>
    <w:p w:rsidR="00BD0B97" w:rsidRDefault="0077115A">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BD0B97" w:rsidRDefault="00BD0B97">
      <w:pPr>
        <w:widowControl/>
        <w:spacing w:line="200" w:lineRule="exact"/>
        <w:ind w:firstLine="210"/>
        <w:rPr>
          <w:color w:val="3D3D3D"/>
          <w:kern w:val="0"/>
          <w:sz w:val="13"/>
          <w:szCs w:val="13"/>
        </w:rPr>
      </w:pPr>
    </w:p>
    <w:p w:rsidR="00BD0B97" w:rsidRDefault="00BD0B97">
      <w:pPr>
        <w:widowControl/>
        <w:spacing w:line="200" w:lineRule="exact"/>
        <w:ind w:firstLine="210"/>
        <w:jc w:val="left"/>
        <w:rPr>
          <w:color w:val="3D3D3D"/>
          <w:kern w:val="0"/>
          <w:sz w:val="13"/>
          <w:szCs w:val="13"/>
        </w:rPr>
      </w:pPr>
    </w:p>
    <w:p w:rsidR="00BD0B97" w:rsidRDefault="00BD0B97">
      <w:pPr>
        <w:widowControl/>
        <w:spacing w:line="200" w:lineRule="exact"/>
        <w:ind w:firstLine="210"/>
        <w:jc w:val="left"/>
        <w:rPr>
          <w:color w:val="3D3D3D"/>
          <w:kern w:val="0"/>
          <w:sz w:val="13"/>
          <w:szCs w:val="13"/>
        </w:rPr>
      </w:pPr>
    </w:p>
    <w:tbl>
      <w:tblPr>
        <w:tblW w:w="0" w:type="auto"/>
        <w:tblInd w:w="-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BD0B9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400" w:lineRule="exact"/>
              <w:jc w:val="center"/>
              <w:rPr>
                <w:b/>
                <w:sz w:val="15"/>
                <w:szCs w:val="15"/>
              </w:rPr>
            </w:pPr>
            <w:r>
              <w:rPr>
                <w:rFonts w:hint="eastAsia"/>
                <w:b/>
                <w:sz w:val="15"/>
                <w:szCs w:val="15"/>
              </w:rPr>
              <w:t>个人投资者</w:t>
            </w:r>
          </w:p>
        </w:tc>
      </w:tr>
      <w:tr w:rsidR="00BD0B97">
        <w:tc>
          <w:tcPr>
            <w:tcW w:w="9287" w:type="dxa"/>
            <w:tcBorders>
              <w:top w:val="single" w:sz="4" w:space="0" w:color="auto"/>
              <w:left w:val="single" w:sz="4" w:space="0" w:color="auto"/>
              <w:bottom w:val="single" w:sz="4" w:space="0" w:color="auto"/>
              <w:right w:val="single" w:sz="4" w:space="0" w:color="auto"/>
              <w:tl2br w:val="nil"/>
              <w:tr2bl w:val="nil"/>
            </w:tcBorders>
          </w:tcPr>
          <w:p w:rsidR="00BD0B97" w:rsidRDefault="0077115A">
            <w:pPr>
              <w:widowControl/>
              <w:spacing w:line="360" w:lineRule="auto"/>
              <w:rPr>
                <w:color w:val="3D3D3D"/>
                <w:kern w:val="0"/>
                <w:sz w:val="13"/>
                <w:szCs w:val="13"/>
              </w:rPr>
            </w:pPr>
            <w:r>
              <w:rPr>
                <w:rFonts w:hint="eastAsia"/>
                <w:sz w:val="15"/>
                <w:szCs w:val="15"/>
              </w:rPr>
              <w:t>签名：</w:t>
            </w:r>
          </w:p>
          <w:p w:rsidR="00BD0B97" w:rsidRDefault="0077115A">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D0B9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400" w:lineRule="exact"/>
              <w:jc w:val="center"/>
              <w:rPr>
                <w:sz w:val="15"/>
                <w:szCs w:val="15"/>
              </w:rPr>
            </w:pPr>
            <w:r>
              <w:rPr>
                <w:rFonts w:hint="eastAsia"/>
                <w:b/>
                <w:bCs/>
                <w:color w:val="3D3D3D"/>
                <w:kern w:val="0"/>
                <w:sz w:val="15"/>
                <w:szCs w:val="15"/>
              </w:rPr>
              <w:t>机构投资者</w:t>
            </w:r>
          </w:p>
        </w:tc>
      </w:tr>
      <w:tr w:rsidR="00BD0B97">
        <w:tc>
          <w:tcPr>
            <w:tcW w:w="9287" w:type="dxa"/>
            <w:tcBorders>
              <w:top w:val="single" w:sz="4" w:space="0" w:color="auto"/>
              <w:left w:val="single" w:sz="4" w:space="0" w:color="auto"/>
              <w:bottom w:val="single" w:sz="4" w:space="0" w:color="auto"/>
              <w:right w:val="single" w:sz="4" w:space="0" w:color="auto"/>
              <w:tl2br w:val="nil"/>
              <w:tr2bl w:val="nil"/>
            </w:tcBorders>
          </w:tcPr>
          <w:p w:rsidR="00BD0B97" w:rsidRDefault="00BD0B97">
            <w:pPr>
              <w:widowControl/>
              <w:spacing w:line="200" w:lineRule="exact"/>
              <w:jc w:val="left"/>
              <w:rPr>
                <w:b/>
                <w:bCs/>
                <w:color w:val="3D3D3D"/>
                <w:kern w:val="0"/>
                <w:sz w:val="15"/>
                <w:szCs w:val="15"/>
              </w:rPr>
            </w:pPr>
          </w:p>
          <w:p w:rsidR="00BD0B97" w:rsidRDefault="0077115A">
            <w:pPr>
              <w:widowControl/>
              <w:spacing w:line="200" w:lineRule="exact"/>
              <w:jc w:val="left"/>
              <w:rPr>
                <w:b/>
                <w:bCs/>
                <w:color w:val="3D3D3D"/>
                <w:kern w:val="0"/>
                <w:sz w:val="15"/>
                <w:szCs w:val="15"/>
              </w:rPr>
            </w:pPr>
            <w:r>
              <w:rPr>
                <w:rFonts w:hint="eastAsia"/>
                <w:b/>
                <w:bCs/>
                <w:color w:val="3D3D3D"/>
                <w:kern w:val="0"/>
                <w:sz w:val="15"/>
                <w:szCs w:val="15"/>
              </w:rPr>
              <w:t>盖章（公章）</w:t>
            </w:r>
          </w:p>
          <w:p w:rsidR="00BD0B97" w:rsidRDefault="00BD0B97">
            <w:pPr>
              <w:widowControl/>
              <w:spacing w:line="200" w:lineRule="exact"/>
              <w:jc w:val="left"/>
              <w:rPr>
                <w:b/>
                <w:bCs/>
                <w:color w:val="3D3D3D"/>
                <w:kern w:val="0"/>
                <w:sz w:val="15"/>
                <w:szCs w:val="15"/>
              </w:rPr>
            </w:pPr>
          </w:p>
          <w:p w:rsidR="00BD0B97" w:rsidRDefault="0077115A">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BD0B97" w:rsidRDefault="00BD0B97">
            <w:pPr>
              <w:widowControl/>
              <w:spacing w:line="200" w:lineRule="exact"/>
              <w:jc w:val="left"/>
              <w:rPr>
                <w:color w:val="3D3D3D"/>
                <w:kern w:val="0"/>
                <w:sz w:val="13"/>
                <w:szCs w:val="13"/>
              </w:rPr>
            </w:pPr>
          </w:p>
          <w:p w:rsidR="00BD0B97" w:rsidRDefault="0077115A">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D0B9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BD0B97">
        <w:tc>
          <w:tcPr>
            <w:tcW w:w="9287" w:type="dxa"/>
            <w:tcBorders>
              <w:top w:val="single" w:sz="4" w:space="0" w:color="auto"/>
              <w:left w:val="single" w:sz="4" w:space="0" w:color="auto"/>
              <w:bottom w:val="single" w:sz="4" w:space="0" w:color="auto"/>
              <w:right w:val="single" w:sz="4" w:space="0" w:color="auto"/>
              <w:tl2br w:val="nil"/>
              <w:tr2bl w:val="nil"/>
            </w:tcBorders>
          </w:tcPr>
          <w:p w:rsidR="00BD0B97" w:rsidRDefault="0077115A">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BD0B97" w:rsidRDefault="0077115A">
      <w:r>
        <w:br w:type="page"/>
      </w:r>
    </w:p>
    <w:p w:rsidR="00BD0B97" w:rsidRDefault="0077115A">
      <w:pPr>
        <w:pStyle w:val="Normal107b2f2a"/>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BD0B97" w:rsidRDefault="0077115A">
      <w:pPr>
        <w:pStyle w:val="Normal107b2f2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D0B97" w:rsidRDefault="0077115A">
      <w:pPr>
        <w:pStyle w:val="NormalWebc2a844b1"/>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BD0B9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南银理财珠联璧合鑫逸稳一年</w:t>
            </w:r>
            <w:r>
              <w:rPr>
                <w:rFonts w:hint="eastAsia"/>
                <w:kern w:val="0"/>
                <w:sz w:val="18"/>
                <w:szCs w:val="18"/>
              </w:rPr>
              <w:t>164</w:t>
            </w:r>
            <w:r>
              <w:rPr>
                <w:rFonts w:hint="eastAsia"/>
                <w:kern w:val="0"/>
                <w:sz w:val="18"/>
                <w:szCs w:val="18"/>
              </w:rPr>
              <w:t>期封闭式公募人民币理财产品</w:t>
            </w:r>
          </w:p>
        </w:tc>
      </w:tr>
      <w:tr w:rsidR="00BD0B9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D0B97" w:rsidRDefault="0077115A">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BD0B97" w:rsidRDefault="0077115A">
            <w:pPr>
              <w:widowControl/>
              <w:spacing w:line="200" w:lineRule="exact"/>
              <w:jc w:val="left"/>
              <w:rPr>
                <w:kern w:val="0"/>
                <w:sz w:val="18"/>
                <w:szCs w:val="18"/>
              </w:rPr>
            </w:pPr>
            <w:r>
              <w:rPr>
                <w:rFonts w:hint="eastAsia"/>
                <w:kern w:val="0"/>
                <w:sz w:val="18"/>
                <w:szCs w:val="18"/>
              </w:rPr>
              <w:t>封闭式、固定收益类、公募、净值型</w:t>
            </w:r>
          </w:p>
        </w:tc>
      </w:tr>
      <w:tr w:rsidR="00BD0B9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D0B97" w:rsidRDefault="0077115A">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BD0B97" w:rsidRDefault="0077115A">
            <w:pPr>
              <w:widowControl/>
              <w:spacing w:line="200" w:lineRule="exact"/>
              <w:jc w:val="left"/>
              <w:rPr>
                <w:kern w:val="0"/>
                <w:sz w:val="18"/>
                <w:szCs w:val="18"/>
              </w:rPr>
            </w:pPr>
            <w:r>
              <w:rPr>
                <w:rFonts w:hint="eastAsia"/>
                <w:kern w:val="0"/>
                <w:sz w:val="18"/>
                <w:szCs w:val="18"/>
              </w:rPr>
              <w:t>公开募集</w:t>
            </w:r>
          </w:p>
        </w:tc>
      </w:tr>
      <w:tr w:rsidR="00BD0B9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ZZ700322400131</w:t>
            </w:r>
          </w:p>
        </w:tc>
      </w:tr>
      <w:tr w:rsidR="00BD0B9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cs="宋体" w:hint="eastAsia"/>
                <w:kern w:val="0"/>
                <w:sz w:val="18"/>
                <w:szCs w:val="18"/>
              </w:rPr>
              <w:t>Z7003224000082(</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BD0B9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A</w:t>
            </w:r>
            <w:r>
              <w:rPr>
                <w:rFonts w:cs="宋体"/>
                <w:sz w:val="18"/>
                <w:szCs w:val="18"/>
              </w:rPr>
              <w:t>份额：</w:t>
            </w:r>
            <w:r>
              <w:rPr>
                <w:rFonts w:cs="宋体"/>
                <w:sz w:val="18"/>
                <w:szCs w:val="18"/>
              </w:rPr>
              <w:t>Y30164</w:t>
            </w:r>
          </w:p>
          <w:p w:rsidR="00BD0B97" w:rsidRDefault="0077115A">
            <w:pPr>
              <w:spacing w:line="200" w:lineRule="exact"/>
            </w:pPr>
            <w:r>
              <w:rPr>
                <w:rFonts w:cs="宋体"/>
                <w:sz w:val="18"/>
                <w:szCs w:val="18"/>
              </w:rPr>
              <w:t>B</w:t>
            </w:r>
            <w:r>
              <w:rPr>
                <w:rFonts w:cs="宋体"/>
                <w:sz w:val="18"/>
                <w:szCs w:val="18"/>
              </w:rPr>
              <w:t>份额：</w:t>
            </w:r>
            <w:r>
              <w:rPr>
                <w:rFonts w:cs="宋体"/>
                <w:sz w:val="18"/>
                <w:szCs w:val="18"/>
              </w:rPr>
              <w:t>Y31164</w:t>
            </w:r>
          </w:p>
          <w:p w:rsidR="00BD0B97" w:rsidRDefault="0077115A">
            <w:pPr>
              <w:spacing w:line="200" w:lineRule="exact"/>
            </w:pPr>
            <w:r>
              <w:rPr>
                <w:rFonts w:cs="宋体"/>
                <w:sz w:val="18"/>
                <w:szCs w:val="18"/>
              </w:rPr>
              <w:t>C</w:t>
            </w:r>
            <w:r>
              <w:rPr>
                <w:rFonts w:cs="宋体"/>
                <w:sz w:val="18"/>
                <w:szCs w:val="18"/>
              </w:rPr>
              <w:t>份额：</w:t>
            </w:r>
            <w:r>
              <w:rPr>
                <w:rFonts w:cs="宋体"/>
                <w:sz w:val="18"/>
                <w:szCs w:val="18"/>
              </w:rPr>
              <w:t>Y32164</w:t>
            </w:r>
          </w:p>
          <w:p w:rsidR="00BD0B97" w:rsidRDefault="0077115A">
            <w:pPr>
              <w:spacing w:line="200" w:lineRule="exact"/>
            </w:pPr>
            <w:r>
              <w:rPr>
                <w:rFonts w:cs="宋体"/>
                <w:b/>
                <w:sz w:val="18"/>
                <w:szCs w:val="18"/>
              </w:rPr>
              <w:t>注：本产品不同份额针对不同的销售机构及客群进行销售，设置有不同的销售费和管理费。</w:t>
            </w:r>
          </w:p>
        </w:tc>
      </w:tr>
      <w:tr w:rsidR="00BD0B9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全国</w:t>
            </w:r>
          </w:p>
        </w:tc>
      </w:tr>
      <w:tr w:rsidR="00BD0B9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widowControl/>
              <w:spacing w:line="200" w:lineRule="exact"/>
              <w:jc w:val="left"/>
              <w:textAlignment w:val="center"/>
              <w:rPr>
                <w:kern w:val="0"/>
                <w:sz w:val="18"/>
                <w:szCs w:val="18"/>
              </w:rPr>
            </w:pPr>
            <w:r>
              <w:rPr>
                <w:rFonts w:hint="eastAsia"/>
                <w:kern w:val="0"/>
                <w:sz w:val="18"/>
                <w:szCs w:val="18"/>
              </w:rPr>
              <w:t>人民币</w:t>
            </w:r>
          </w:p>
        </w:tc>
      </w:tr>
      <w:tr w:rsidR="00BD0B9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BD0B9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BD0B97" w:rsidRDefault="0077115A">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BD0B9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jc w:val="left"/>
            </w:pPr>
            <w:r>
              <w:rPr>
                <w:rFonts w:cs="宋体"/>
                <w:sz w:val="18"/>
                <w:szCs w:val="18"/>
              </w:rPr>
              <w:t>符合相关法律法规、监管规定要求的，经销售机构的风险承受能力评估体系评定为适合的个人和机构投资者。</w:t>
            </w:r>
          </w:p>
          <w:p w:rsidR="00BD0B97" w:rsidRDefault="0077115A">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BD0B97" w:rsidRDefault="0077115A">
            <w:pPr>
              <w:spacing w:line="200" w:lineRule="exact"/>
            </w:pPr>
            <w:r>
              <w:rPr>
                <w:rFonts w:cs="宋体"/>
                <w:sz w:val="18"/>
                <w:szCs w:val="18"/>
              </w:rPr>
              <w:t>B</w:t>
            </w:r>
            <w:r>
              <w:rPr>
                <w:rFonts w:cs="宋体"/>
                <w:sz w:val="18"/>
                <w:szCs w:val="18"/>
              </w:rPr>
              <w:t>份额：南京银行股份有限公司新客或新资金或代发客户；徽商银行股份有限公司、温州银行股份有限公司、烟台银行股份有限公司（工会卡客户）、厦门银行股份有限公司、日照银行股份有限公司、宁波东海银行股份有限公司（</w:t>
            </w:r>
            <w:r>
              <w:rPr>
                <w:rFonts w:cs="宋体"/>
                <w:sz w:val="18"/>
                <w:szCs w:val="18"/>
              </w:rPr>
              <w:t>A</w:t>
            </w:r>
            <w:r>
              <w:rPr>
                <w:rFonts w:cs="宋体"/>
                <w:sz w:val="18"/>
                <w:szCs w:val="18"/>
              </w:rPr>
              <w:t>份额：</w:t>
            </w:r>
            <w:r>
              <w:rPr>
                <w:rFonts w:cs="宋体"/>
                <w:sz w:val="18"/>
                <w:szCs w:val="18"/>
              </w:rPr>
              <w:t>20</w:t>
            </w:r>
            <w:r>
              <w:rPr>
                <w:rFonts w:cs="宋体"/>
                <w:sz w:val="18"/>
                <w:szCs w:val="18"/>
              </w:rPr>
              <w:t>万元起购；</w:t>
            </w:r>
            <w:r>
              <w:rPr>
                <w:rFonts w:cs="宋体"/>
                <w:sz w:val="18"/>
                <w:szCs w:val="18"/>
              </w:rPr>
              <w:t>B</w:t>
            </w:r>
            <w:r>
              <w:rPr>
                <w:rFonts w:cs="宋体"/>
                <w:sz w:val="18"/>
                <w:szCs w:val="18"/>
              </w:rPr>
              <w:t>份额：</w:t>
            </w:r>
            <w:r>
              <w:rPr>
                <w:rFonts w:cs="宋体"/>
                <w:sz w:val="18"/>
                <w:szCs w:val="18"/>
              </w:rPr>
              <w:t>1</w:t>
            </w:r>
            <w:r>
              <w:rPr>
                <w:rFonts w:cs="宋体"/>
                <w:sz w:val="18"/>
                <w:szCs w:val="18"/>
              </w:rPr>
              <w:t>元起购）、齐鲁银行股份有限公司（政务服务中心支行开业专享）、天津农村商业银行股份有限公司（滨海分行专属）、中邮邮惠万家银行有限责任公司、江苏淮安农村商业银行股份有限公司（</w:t>
            </w:r>
            <w:r>
              <w:rPr>
                <w:rFonts w:cs="宋体"/>
                <w:sz w:val="18"/>
                <w:szCs w:val="18"/>
              </w:rPr>
              <w:t>10</w:t>
            </w:r>
            <w:r>
              <w:rPr>
                <w:rFonts w:cs="宋体"/>
                <w:sz w:val="18"/>
                <w:szCs w:val="18"/>
              </w:rPr>
              <w:t>万元起购）、徐州农村商业银行股份有限公司（代发客户或高净值客户）。</w:t>
            </w:r>
          </w:p>
          <w:p w:rsidR="00BD0B97" w:rsidRDefault="0077115A">
            <w:pPr>
              <w:spacing w:line="200" w:lineRule="exact"/>
            </w:pPr>
            <w:r>
              <w:rPr>
                <w:rFonts w:cs="宋体"/>
                <w:sz w:val="18"/>
                <w:szCs w:val="18"/>
              </w:rPr>
              <w:t>C</w:t>
            </w:r>
            <w:r>
              <w:rPr>
                <w:rFonts w:cs="宋体"/>
                <w:sz w:val="18"/>
                <w:szCs w:val="18"/>
              </w:rPr>
              <w:t>份额：杭州银行股份有限公司、汉口银行股份有限公司（</w:t>
            </w:r>
            <w:r>
              <w:rPr>
                <w:rFonts w:cs="宋体"/>
                <w:sz w:val="18"/>
                <w:szCs w:val="18"/>
              </w:rPr>
              <w:t>20</w:t>
            </w:r>
            <w:r>
              <w:rPr>
                <w:rFonts w:cs="宋体"/>
                <w:sz w:val="18"/>
                <w:szCs w:val="18"/>
              </w:rPr>
              <w:t>万元起购、针对行内中高端客户销售）、天津农村商业银行股份有限公司（军人客户）、富邦华一银行有限公司、宁波通商银行股份有限公司、江苏兴化农村商业银行股份有限公司、江苏靖江农村商业银行股份有限公司、江苏紫金农村商业银行股份有限公司（起点金额</w:t>
            </w:r>
            <w:r>
              <w:rPr>
                <w:rFonts w:cs="宋体"/>
                <w:sz w:val="18"/>
                <w:szCs w:val="18"/>
              </w:rPr>
              <w:t>30</w:t>
            </w:r>
            <w:r>
              <w:rPr>
                <w:rFonts w:cs="宋体"/>
                <w:sz w:val="18"/>
                <w:szCs w:val="18"/>
              </w:rPr>
              <w:t>万元以上）、枣庄银行股份有限公司。</w:t>
            </w:r>
          </w:p>
          <w:p w:rsidR="00BD0B97" w:rsidRDefault="0077115A">
            <w:pPr>
              <w:spacing w:line="200" w:lineRule="exact"/>
            </w:pPr>
            <w:r>
              <w:rPr>
                <w:rFonts w:cs="宋体"/>
                <w:b/>
                <w:sz w:val="18"/>
                <w:szCs w:val="18"/>
              </w:rPr>
              <w:t>注：本产品不同份额针对不同的销售机构及客群进行销售，设置有不同的销售费和管理费。</w:t>
            </w:r>
          </w:p>
          <w:p w:rsidR="00BD0B97" w:rsidRDefault="0077115A">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BD0B9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BD0B97" w:rsidRDefault="0077115A">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BD0B97" w:rsidRDefault="0077115A">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BD0B97" w:rsidRDefault="0077115A">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BD0B97" w:rsidRDefault="0077115A">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BD0B9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BD0B97" w:rsidRDefault="0077115A">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BD0B9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24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07</w:t>
            </w:r>
            <w:r>
              <w:rPr>
                <w:rFonts w:cs="宋体"/>
                <w:color w:val="000000"/>
                <w:sz w:val="18"/>
                <w:szCs w:val="18"/>
              </w:rPr>
              <w:t>日</w:t>
            </w:r>
            <w:r>
              <w:rPr>
                <w:rFonts w:cs="宋体"/>
                <w:color w:val="000000"/>
                <w:sz w:val="18"/>
                <w:szCs w:val="18"/>
              </w:rPr>
              <w:t xml:space="preserve"> </w:t>
            </w:r>
            <w:r>
              <w:rPr>
                <w:rFonts w:cs="宋体"/>
                <w:color w:val="000000"/>
                <w:sz w:val="18"/>
                <w:szCs w:val="18"/>
              </w:rPr>
              <w:t>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BD0B9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BD0B9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rPr>
                <w:color w:val="000000"/>
                <w:kern w:val="0"/>
                <w:sz w:val="18"/>
                <w:szCs w:val="18"/>
              </w:rPr>
            </w:pPr>
            <w:r>
              <w:rPr>
                <w:rFonts w:hint="eastAsia"/>
                <w:color w:val="000000"/>
                <w:kern w:val="0"/>
                <w:sz w:val="18"/>
                <w:szCs w:val="18"/>
              </w:rPr>
              <w:t>同产品成立日</w:t>
            </w:r>
          </w:p>
        </w:tc>
      </w:tr>
      <w:tr w:rsidR="00BD0B9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08</w:t>
            </w:r>
            <w:r>
              <w:rPr>
                <w:rFonts w:hint="eastAsia"/>
                <w:kern w:val="0"/>
                <w:sz w:val="18"/>
                <w:szCs w:val="18"/>
              </w:rPr>
              <w:t>日</w:t>
            </w:r>
          </w:p>
        </w:tc>
      </w:tr>
      <w:tr w:rsidR="00BD0B9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2024</w:t>
            </w:r>
            <w:r>
              <w:rPr>
                <w:rFonts w:cs="宋体"/>
                <w:sz w:val="18"/>
                <w:szCs w:val="18"/>
              </w:rPr>
              <w:t>年</w:t>
            </w:r>
            <w:r>
              <w:rPr>
                <w:rFonts w:cs="宋体"/>
                <w:sz w:val="18"/>
                <w:szCs w:val="18"/>
              </w:rPr>
              <w:t>05</w:t>
            </w:r>
            <w:r>
              <w:rPr>
                <w:rFonts w:cs="宋体"/>
                <w:sz w:val="18"/>
                <w:szCs w:val="18"/>
              </w:rPr>
              <w:t>月</w:t>
            </w:r>
            <w:r>
              <w:rPr>
                <w:rFonts w:cs="宋体"/>
                <w:sz w:val="18"/>
                <w:szCs w:val="18"/>
              </w:rPr>
              <w:t>08</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如名义到期日遇国家法定节假日，管理人可结合国家法定节假日安排进行调整。同时管理人有权提前终止本产品（提前终止情形详见本产品说明书其他说明事项第一条）。</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BD0B9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11</w:t>
            </w:r>
            <w:r>
              <w:rPr>
                <w:rFonts w:hint="eastAsia"/>
                <w:kern w:val="0"/>
                <w:sz w:val="18"/>
                <w:szCs w:val="18"/>
              </w:rPr>
              <w:t>日</w:t>
            </w:r>
          </w:p>
        </w:tc>
      </w:tr>
      <w:tr w:rsidR="00BD0B9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BD0B9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BD0B97" w:rsidRDefault="0077115A">
            <w:pPr>
              <w:spacing w:line="200" w:lineRule="exact"/>
            </w:pPr>
            <w:r>
              <w:rPr>
                <w:rFonts w:cs="宋体"/>
                <w:sz w:val="18"/>
                <w:szCs w:val="18"/>
              </w:rPr>
              <w:t>产品到期后，理财产品管理人和代销机构将根据理财资金所投资资产实际运作情况向投资者分配到期款项。</w:t>
            </w:r>
          </w:p>
        </w:tc>
      </w:tr>
      <w:tr w:rsidR="00BD0B9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分红资金（如有）、到期资金将于分红权益登记日（如有）、实际到期日后</w:t>
            </w:r>
            <w:r>
              <w:rPr>
                <w:rFonts w:cs="宋体"/>
                <w:sz w:val="18"/>
                <w:szCs w:val="18"/>
              </w:rPr>
              <w:t>5</w:t>
            </w:r>
            <w:r>
              <w:rPr>
                <w:rFonts w:cs="宋体"/>
                <w:sz w:val="18"/>
                <w:szCs w:val="18"/>
              </w:rPr>
              <w:t>个工作日内划入投资者授权指定账户，分红权益登记日（如有）、实际到期日后至投资者收益划到投资者授权指定账户之前不计任何收益。</w:t>
            </w:r>
          </w:p>
          <w:p w:rsidR="00BD0B97" w:rsidRDefault="0077115A">
            <w:pPr>
              <w:spacing w:line="200" w:lineRule="exact"/>
            </w:pPr>
            <w:r>
              <w:rPr>
                <w:rFonts w:cs="宋体"/>
                <w:sz w:val="18"/>
                <w:szCs w:val="18"/>
              </w:rPr>
              <w:t>分红权益登记日指管理人确认投资者所持份额是否享受本次分红的日期。</w:t>
            </w:r>
          </w:p>
        </w:tc>
      </w:tr>
      <w:tr w:rsidR="00BD0B9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jc w:val="left"/>
            </w:pPr>
            <w:r>
              <w:rPr>
                <w:rFonts w:cs="宋体"/>
                <w:sz w:val="18"/>
                <w:szCs w:val="18"/>
              </w:rPr>
              <w:t>本理财产品募集的资金投资于以下金融资产和金融工具，包括但不限于：</w:t>
            </w:r>
          </w:p>
          <w:p w:rsidR="00BD0B97" w:rsidRDefault="0077115A">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BD0B97" w:rsidRDefault="0077115A">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BD0B97" w:rsidRDefault="0077115A">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BD0B97" w:rsidRDefault="0077115A">
            <w:pPr>
              <w:spacing w:line="200" w:lineRule="exact"/>
              <w:jc w:val="left"/>
            </w:pPr>
            <w:r>
              <w:rPr>
                <w:rFonts w:cs="宋体"/>
                <w:sz w:val="18"/>
                <w:szCs w:val="18"/>
              </w:rPr>
              <w:t>4.</w:t>
            </w:r>
            <w:r>
              <w:rPr>
                <w:rFonts w:cs="宋体"/>
                <w:sz w:val="18"/>
                <w:szCs w:val="18"/>
              </w:rPr>
              <w:t>投资范围为上述资产的信托计划、资产管理计划等资产管理产品；</w:t>
            </w:r>
          </w:p>
          <w:p w:rsidR="00BD0B97" w:rsidRDefault="0077115A">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BD0B97" w:rsidRDefault="0077115A">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BD0B9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BD0B97" w:rsidRDefault="0077115A">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BD0B9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BD0B9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b/>
                <w:sz w:val="18"/>
                <w:szCs w:val="18"/>
              </w:rPr>
              <w:t>本理财产品拟投资以下备选非标准化债权类资产：</w:t>
            </w:r>
          </w:p>
          <w:p w:rsidR="00BD0B97" w:rsidRDefault="0077115A">
            <w:pPr>
              <w:spacing w:line="200" w:lineRule="exact"/>
            </w:pPr>
            <w:r>
              <w:rPr>
                <w:rFonts w:cs="宋体"/>
                <w:sz w:val="18"/>
                <w:szCs w:val="18"/>
              </w:rPr>
              <w:t>1</w:t>
            </w:r>
            <w:r>
              <w:rPr>
                <w:rFonts w:cs="宋体"/>
                <w:sz w:val="18"/>
                <w:szCs w:val="18"/>
              </w:rPr>
              <w:t>、信托贷款：资产类型为信托公司设立的固定收益类信托计划，底层资产为向融资人徐州经济技术开发区国有资产经营有限责任公司发放信托贷款，融资人评级为</w:t>
            </w:r>
            <w:r>
              <w:rPr>
                <w:rFonts w:cs="宋体"/>
                <w:sz w:val="18"/>
                <w:szCs w:val="18"/>
              </w:rPr>
              <w:t>AA+</w:t>
            </w:r>
            <w:r>
              <w:rPr>
                <w:rFonts w:cs="宋体"/>
                <w:sz w:val="18"/>
                <w:szCs w:val="18"/>
              </w:rPr>
              <w:t>（评级机构为中诚信国际信用评级有限责任公司）。</w:t>
            </w:r>
          </w:p>
          <w:p w:rsidR="00BD0B97" w:rsidRDefault="0077115A">
            <w:pPr>
              <w:spacing w:line="200" w:lineRule="exact"/>
            </w:pPr>
            <w:r>
              <w:rPr>
                <w:rFonts w:cs="宋体"/>
                <w:sz w:val="18"/>
                <w:szCs w:val="18"/>
              </w:rPr>
              <w:t>2</w:t>
            </w:r>
            <w:r>
              <w:rPr>
                <w:rFonts w:cs="宋体"/>
                <w:sz w:val="18"/>
                <w:szCs w:val="18"/>
              </w:rPr>
              <w:t>、信托贷款：资产类型为信托公司设立的固定收益类信托计划，底层资产为向融资人盐城市城南新区开发建设投资有限公司发放信托贷款，融资人评级为</w:t>
            </w:r>
            <w:r>
              <w:rPr>
                <w:rFonts w:cs="宋体"/>
                <w:sz w:val="18"/>
                <w:szCs w:val="18"/>
              </w:rPr>
              <w:t>AA+</w:t>
            </w:r>
            <w:r>
              <w:rPr>
                <w:rFonts w:cs="宋体"/>
                <w:sz w:val="18"/>
                <w:szCs w:val="18"/>
              </w:rPr>
              <w:t>（评级机构为东方金诚国际信用评估有限公司）。</w:t>
            </w:r>
          </w:p>
          <w:p w:rsidR="00BD0B97" w:rsidRDefault="0077115A">
            <w:pPr>
              <w:spacing w:line="200" w:lineRule="exact"/>
            </w:pPr>
            <w:r>
              <w:rPr>
                <w:rFonts w:cs="宋体"/>
                <w:sz w:val="18"/>
                <w:szCs w:val="18"/>
              </w:rPr>
              <w:t>3</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（评级机构为中诚信国际信用评级有限责任公司）。</w:t>
            </w:r>
          </w:p>
          <w:p w:rsidR="00BD0B97" w:rsidRDefault="0077115A">
            <w:pPr>
              <w:spacing w:line="200" w:lineRule="exact"/>
            </w:pPr>
            <w:r>
              <w:rPr>
                <w:rFonts w:cs="宋体"/>
                <w:sz w:val="18"/>
                <w:szCs w:val="18"/>
              </w:rPr>
              <w:t>4</w:t>
            </w:r>
            <w:r>
              <w:rPr>
                <w:rFonts w:cs="宋体"/>
                <w:sz w:val="18"/>
                <w:szCs w:val="18"/>
              </w:rPr>
              <w:t>、信托贷款：资产类型为信托公司设立的固定收益类信托计划，底层资产为向融资人盐城市城市资产投资集团有限公司发放信托贷款，融资人评级为</w:t>
            </w:r>
            <w:r>
              <w:rPr>
                <w:rFonts w:cs="宋体"/>
                <w:sz w:val="18"/>
                <w:szCs w:val="18"/>
              </w:rPr>
              <w:t>AAA</w:t>
            </w:r>
            <w:r>
              <w:rPr>
                <w:rFonts w:cs="宋体"/>
                <w:sz w:val="18"/>
                <w:szCs w:val="18"/>
              </w:rPr>
              <w:t>（评级机构为大公国际资信评估有限公司）。</w:t>
            </w:r>
          </w:p>
          <w:p w:rsidR="00BD0B97" w:rsidRDefault="0077115A">
            <w:pPr>
              <w:spacing w:line="200" w:lineRule="exact"/>
            </w:pPr>
            <w:r>
              <w:rPr>
                <w:rFonts w:cs="宋体"/>
                <w:sz w:val="18"/>
                <w:szCs w:val="18"/>
              </w:rPr>
              <w:t>5</w:t>
            </w:r>
            <w:r>
              <w:rPr>
                <w:rFonts w:cs="宋体"/>
                <w:sz w:val="18"/>
                <w:szCs w:val="18"/>
              </w:rPr>
              <w:t>、信托贷款：资产类型为信托公司设立的固定收益类信托计划，底层资产为向融资人盐城市国有资产投资集团有限公司发放信托贷款，融资人评级为</w:t>
            </w:r>
            <w:r>
              <w:rPr>
                <w:rFonts w:cs="宋体"/>
                <w:sz w:val="18"/>
                <w:szCs w:val="18"/>
              </w:rPr>
              <w:t>AA+</w:t>
            </w:r>
            <w:r>
              <w:rPr>
                <w:rFonts w:cs="宋体"/>
                <w:sz w:val="18"/>
                <w:szCs w:val="18"/>
              </w:rPr>
              <w:t>（评级机构为中证鹏元资信评估股份有限公司）。</w:t>
            </w:r>
          </w:p>
          <w:p w:rsidR="00BD0B97" w:rsidRDefault="0077115A">
            <w:pPr>
              <w:spacing w:line="200" w:lineRule="exact"/>
            </w:pPr>
            <w:r>
              <w:rPr>
                <w:rFonts w:cs="宋体"/>
                <w:sz w:val="18"/>
                <w:szCs w:val="18"/>
              </w:rPr>
              <w:t>6</w:t>
            </w:r>
            <w:r>
              <w:rPr>
                <w:rFonts w:cs="宋体"/>
                <w:sz w:val="18"/>
                <w:szCs w:val="18"/>
              </w:rPr>
              <w:t>、信托贷款：资产类型为信托公司设立的固定收益类信托计划，底层资产为向融资人盐城市东亭投资有限公司发放信托贷款，融资人无外部评级。</w:t>
            </w:r>
          </w:p>
          <w:p w:rsidR="00BD0B97" w:rsidRDefault="0077115A">
            <w:pPr>
              <w:spacing w:line="200" w:lineRule="exact"/>
            </w:pPr>
            <w:r>
              <w:rPr>
                <w:rFonts w:cs="宋体"/>
                <w:sz w:val="18"/>
                <w:szCs w:val="18"/>
              </w:rPr>
              <w:t>7</w:t>
            </w:r>
            <w:r>
              <w:rPr>
                <w:rFonts w:cs="宋体"/>
                <w:sz w:val="18"/>
                <w:szCs w:val="18"/>
              </w:rPr>
              <w:t>、信托贷款：资产类型为信托公司设立的固定收益类信托计划，底层资产为向融资人泰州市凯明城市建设有限公司发放信托贷款，融资人无外部评级。</w:t>
            </w:r>
          </w:p>
          <w:p w:rsidR="00BD0B97" w:rsidRDefault="0077115A">
            <w:pPr>
              <w:spacing w:line="200" w:lineRule="exact"/>
            </w:pPr>
            <w:r>
              <w:rPr>
                <w:rFonts w:cs="宋体"/>
                <w:sz w:val="18"/>
                <w:szCs w:val="18"/>
              </w:rPr>
              <w:t>8</w:t>
            </w:r>
            <w:r>
              <w:rPr>
                <w:rFonts w:cs="宋体"/>
                <w:sz w:val="18"/>
                <w:szCs w:val="18"/>
              </w:rPr>
              <w:t>、信托贷款：资产类型为信托公司设立的固定收益类信托计划，底层资产为向融资人江苏软件园科技发展有限公司发放信托贷款，融资人无外部评级。</w:t>
            </w:r>
          </w:p>
          <w:p w:rsidR="00BD0B97" w:rsidRDefault="0077115A">
            <w:pPr>
              <w:spacing w:line="200" w:lineRule="exact"/>
            </w:pPr>
            <w:r>
              <w:rPr>
                <w:rFonts w:cs="宋体"/>
                <w:sz w:val="18"/>
                <w:szCs w:val="18"/>
              </w:rPr>
              <w:t>9</w:t>
            </w:r>
            <w:r>
              <w:rPr>
                <w:rFonts w:cs="宋体"/>
                <w:sz w:val="18"/>
                <w:szCs w:val="18"/>
              </w:rPr>
              <w:t>、信托贷款：资产类型为信托公司设立的固定收益类信托计划，底层资产为向融资人江苏姜堰经开集团有限公司发放信托贷款，融资人评级为</w:t>
            </w:r>
            <w:r>
              <w:rPr>
                <w:rFonts w:cs="宋体"/>
                <w:sz w:val="18"/>
                <w:szCs w:val="18"/>
              </w:rPr>
              <w:t>AA</w:t>
            </w:r>
            <w:r>
              <w:rPr>
                <w:rFonts w:cs="宋体"/>
                <w:sz w:val="18"/>
                <w:szCs w:val="18"/>
              </w:rPr>
              <w:t>（评级机构为中诚信国际信用评级有限责任公司）。</w:t>
            </w:r>
          </w:p>
          <w:p w:rsidR="00BD0B97" w:rsidRDefault="0077115A">
            <w:pPr>
              <w:spacing w:line="200" w:lineRule="exact"/>
            </w:pPr>
            <w:r>
              <w:rPr>
                <w:rFonts w:cs="宋体"/>
                <w:sz w:val="18"/>
                <w:szCs w:val="18"/>
              </w:rPr>
              <w:t>10</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BD0B97" w:rsidRDefault="0077115A">
            <w:pPr>
              <w:spacing w:line="200" w:lineRule="exact"/>
            </w:pPr>
            <w:r>
              <w:rPr>
                <w:rFonts w:cs="宋体"/>
                <w:sz w:val="18"/>
                <w:szCs w:val="18"/>
              </w:rPr>
              <w:t>11</w:t>
            </w:r>
            <w:r>
              <w:rPr>
                <w:rFonts w:cs="宋体"/>
                <w:sz w:val="18"/>
                <w:szCs w:val="18"/>
              </w:rPr>
              <w:t>、信托贷款：资产类型为信托公司设立的固定收益类信托计划，底层资产为向融资人宿迁市运河港区开发集团有限公司，融资人评级为</w:t>
            </w:r>
            <w:r>
              <w:rPr>
                <w:rFonts w:cs="宋体"/>
                <w:sz w:val="18"/>
                <w:szCs w:val="18"/>
              </w:rPr>
              <w:t>AA</w:t>
            </w:r>
            <w:r>
              <w:rPr>
                <w:rFonts w:cs="宋体"/>
                <w:sz w:val="18"/>
                <w:szCs w:val="18"/>
              </w:rPr>
              <w:t>（评级机构为联合资信评估股份有限公司）。</w:t>
            </w:r>
          </w:p>
          <w:p w:rsidR="00BD0B97" w:rsidRDefault="0077115A">
            <w:pPr>
              <w:spacing w:line="200" w:lineRule="exact"/>
            </w:pPr>
            <w:r>
              <w:rPr>
                <w:rFonts w:cs="宋体"/>
                <w:sz w:val="18"/>
                <w:szCs w:val="18"/>
              </w:rPr>
              <w:t>12</w:t>
            </w:r>
            <w:r>
              <w:rPr>
                <w:rFonts w:cs="宋体"/>
                <w:sz w:val="18"/>
                <w:szCs w:val="18"/>
              </w:rPr>
              <w:t>、信托贷款：资产类型为信托公司设立的集合资金信托计划，底层资产为蚂蚁智信（杭州）信息技术有限公司与具有专业资质的金融机构合作向用户发放的消费授信付款资产。</w:t>
            </w:r>
          </w:p>
          <w:p w:rsidR="00BD0B97" w:rsidRDefault="0077115A">
            <w:pPr>
              <w:spacing w:line="200" w:lineRule="exact"/>
            </w:pPr>
            <w:r>
              <w:rPr>
                <w:rFonts w:cs="宋体"/>
                <w:sz w:val="18"/>
                <w:szCs w:val="18"/>
              </w:rPr>
              <w:t>13</w:t>
            </w:r>
            <w:r>
              <w:rPr>
                <w:rFonts w:cs="宋体"/>
                <w:sz w:val="18"/>
                <w:szCs w:val="18"/>
              </w:rPr>
              <w:t>、信托贷款：资产类型为信托公司设立的集合资金信托计划，底层资产为重庆市微恒科技有限公司作为综合服务顾问，由具有专业资质的金融机构向用户发放的分付消费授信付款资产。</w:t>
            </w:r>
          </w:p>
          <w:p w:rsidR="00BD0B97" w:rsidRDefault="0077115A">
            <w:pPr>
              <w:spacing w:line="200" w:lineRule="exact"/>
            </w:pPr>
            <w:r>
              <w:rPr>
                <w:rFonts w:cs="宋体"/>
                <w:sz w:val="18"/>
                <w:szCs w:val="18"/>
              </w:rPr>
              <w:t>14</w:t>
            </w:r>
            <w:r>
              <w:rPr>
                <w:rFonts w:cs="宋体"/>
                <w:sz w:val="18"/>
                <w:szCs w:val="18"/>
              </w:rPr>
              <w:t>、资产支持计划：资产类型为保险资产管理公司设立的资产支持计划，底层资产为蚂蚁智信（杭州）信息技术有限公司与具有专业资质的金融机构合作向用户发放的消费授信付款资产。</w:t>
            </w:r>
          </w:p>
          <w:p w:rsidR="00BD0B97" w:rsidRDefault="0077115A">
            <w:pPr>
              <w:spacing w:line="200" w:lineRule="exact"/>
            </w:pPr>
            <w:r>
              <w:rPr>
                <w:rFonts w:cs="宋体"/>
                <w:sz w:val="18"/>
                <w:szCs w:val="18"/>
              </w:rPr>
              <w:t>15</w:t>
            </w:r>
            <w:r>
              <w:rPr>
                <w:rFonts w:cs="宋体"/>
                <w:sz w:val="18"/>
                <w:szCs w:val="18"/>
              </w:rPr>
              <w:t>、资产支持计划：资产类型为保险资产管理公司设立的资产支持计划，底层资产为深圳智领星辰科技有限公司与具有专业资质的金融机构合作向用户发放的放心借消费贷款产品。</w:t>
            </w:r>
          </w:p>
          <w:p w:rsidR="00BD0B97" w:rsidRDefault="0077115A">
            <w:pPr>
              <w:spacing w:line="200" w:lineRule="exact"/>
            </w:pPr>
            <w:r>
              <w:rPr>
                <w:rFonts w:cs="宋体"/>
                <w:sz w:val="18"/>
                <w:szCs w:val="18"/>
              </w:rPr>
              <w:t>16</w:t>
            </w:r>
            <w:r>
              <w:rPr>
                <w:rFonts w:cs="宋体"/>
                <w:sz w:val="18"/>
                <w:szCs w:val="18"/>
              </w:rPr>
              <w:t>、信托贷款：资产类型为信托公司设立的固定收益类信托计划，底层资产为向融资人常州城建产业集团有限公司信托贷款，融资人无外部评级。</w:t>
            </w:r>
          </w:p>
          <w:p w:rsidR="00BD0B97" w:rsidRDefault="0077115A">
            <w:pPr>
              <w:spacing w:line="200" w:lineRule="exact"/>
            </w:pPr>
            <w:r>
              <w:rPr>
                <w:rFonts w:cs="宋体"/>
                <w:sz w:val="18"/>
                <w:szCs w:val="18"/>
              </w:rPr>
              <w:t>17</w:t>
            </w:r>
            <w:r>
              <w:rPr>
                <w:rFonts w:cs="宋体"/>
                <w:sz w:val="18"/>
                <w:szCs w:val="18"/>
              </w:rPr>
              <w:t>、信托贷款：资产类型为信托公司设立的固定收益类信托计划，底层资产为向融资人江苏武进太湖湾旅游发展有限公司信托贷款，融资人评级为</w:t>
            </w:r>
            <w:r>
              <w:rPr>
                <w:rFonts w:cs="宋体"/>
                <w:sz w:val="18"/>
                <w:szCs w:val="18"/>
              </w:rPr>
              <w:t>AA</w:t>
            </w:r>
            <w:r>
              <w:rPr>
                <w:rFonts w:cs="宋体"/>
                <w:sz w:val="18"/>
                <w:szCs w:val="18"/>
              </w:rPr>
              <w:t>（评级机构为东方金诚国际信用评估有限公司）。</w:t>
            </w:r>
          </w:p>
          <w:p w:rsidR="00BD0B97" w:rsidRDefault="0077115A">
            <w:pPr>
              <w:spacing w:line="200" w:lineRule="exact"/>
            </w:pPr>
            <w:r>
              <w:rPr>
                <w:rFonts w:cs="宋体"/>
                <w:sz w:val="18"/>
                <w:szCs w:val="18"/>
              </w:rPr>
              <w:t>18</w:t>
            </w:r>
            <w:r>
              <w:rPr>
                <w:rFonts w:cs="宋体"/>
                <w:sz w:val="18"/>
                <w:szCs w:val="18"/>
              </w:rPr>
              <w:t>、信托贷款：资产类型为信托公司设立的集合资金信托计划，底层资产为深圳智领星辰科技有限公司与具有专业资质的金融机构合作向用户发放的抖音月付个人消费贷款债权。</w:t>
            </w:r>
          </w:p>
          <w:p w:rsidR="00BD0B97" w:rsidRDefault="0077115A">
            <w:pPr>
              <w:spacing w:line="200" w:lineRule="exact"/>
            </w:pPr>
            <w:r>
              <w:rPr>
                <w:rFonts w:cs="宋体"/>
                <w:b/>
                <w:sz w:val="18"/>
                <w:szCs w:val="18"/>
              </w:rPr>
              <w:t>以上资产剩余期限均不超过产品期限。</w:t>
            </w:r>
          </w:p>
          <w:p w:rsidR="00BD0B97" w:rsidRDefault="0077115A">
            <w:pPr>
              <w:spacing w:line="200" w:lineRule="exact"/>
            </w:pPr>
            <w:r>
              <w:rPr>
                <w:rFonts w:cs="宋体"/>
                <w:b/>
                <w:sz w:val="18"/>
                <w:szCs w:val="18"/>
              </w:rPr>
              <w:t>产品管理人将优先选择上述备选非标准化债权类资产中的一笔或者多笔作为本理财产品投资的非标准化债权类资产，并在本理财产品的定期报告中进行信息披露。</w:t>
            </w:r>
          </w:p>
          <w:p w:rsidR="00BD0B97" w:rsidRDefault="0077115A">
            <w:pPr>
              <w:spacing w:line="200" w:lineRule="exact"/>
            </w:pPr>
            <w:r>
              <w:rPr>
                <w:rFonts w:cs="宋体"/>
                <w:b/>
                <w:sz w:val="18"/>
                <w:szCs w:val="18"/>
              </w:rPr>
              <w:t>若受到市场影响出现融资人临时变更融资要素（如取消该笔资产发行或改变资产的发行时间、资产收益等要素）导致本理财产品无法投资对应资产时，为最大程度保障投资者权益，管理人有权采取如下措施：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BD0B9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A</w:t>
            </w:r>
            <w:r>
              <w:rPr>
                <w:rFonts w:cs="宋体"/>
                <w:sz w:val="18"/>
                <w:szCs w:val="18"/>
              </w:rPr>
              <w:t>份额：业绩比较基准为年化</w:t>
            </w:r>
            <w:r>
              <w:rPr>
                <w:rFonts w:cs="宋体"/>
                <w:sz w:val="18"/>
                <w:szCs w:val="18"/>
              </w:rPr>
              <w:t xml:space="preserve">3.1%-3.5% </w:t>
            </w:r>
            <w:r>
              <w:rPr>
                <w:rFonts w:cs="宋体"/>
                <w:sz w:val="18"/>
                <w:szCs w:val="18"/>
              </w:rPr>
              <w:t>。</w:t>
            </w:r>
          </w:p>
          <w:p w:rsidR="00BD0B97" w:rsidRDefault="0077115A">
            <w:pPr>
              <w:spacing w:line="200" w:lineRule="exact"/>
            </w:pPr>
            <w:r>
              <w:rPr>
                <w:rFonts w:cs="宋体"/>
                <w:sz w:val="18"/>
                <w:szCs w:val="18"/>
              </w:rPr>
              <w:t>B</w:t>
            </w:r>
            <w:r>
              <w:rPr>
                <w:rFonts w:cs="宋体"/>
                <w:sz w:val="18"/>
                <w:szCs w:val="18"/>
              </w:rPr>
              <w:t>份额：业绩比较基准为年化</w:t>
            </w:r>
            <w:r>
              <w:rPr>
                <w:rFonts w:cs="宋体"/>
                <w:sz w:val="18"/>
                <w:szCs w:val="18"/>
              </w:rPr>
              <w:t xml:space="preserve">3.2%-3.6% </w:t>
            </w:r>
            <w:r>
              <w:rPr>
                <w:rFonts w:cs="宋体"/>
                <w:sz w:val="18"/>
                <w:szCs w:val="18"/>
              </w:rPr>
              <w:t>。</w:t>
            </w:r>
          </w:p>
          <w:p w:rsidR="00BD0B97" w:rsidRDefault="0077115A">
            <w:pPr>
              <w:spacing w:line="200" w:lineRule="exact"/>
            </w:pPr>
            <w:r>
              <w:rPr>
                <w:rFonts w:cs="宋体"/>
                <w:sz w:val="18"/>
                <w:szCs w:val="18"/>
              </w:rPr>
              <w:t>C</w:t>
            </w:r>
            <w:r>
              <w:rPr>
                <w:rFonts w:cs="宋体"/>
                <w:sz w:val="18"/>
                <w:szCs w:val="18"/>
              </w:rPr>
              <w:t>份额：业绩比较基准为年化</w:t>
            </w:r>
            <w:r>
              <w:rPr>
                <w:rFonts w:cs="宋体"/>
                <w:sz w:val="18"/>
                <w:szCs w:val="18"/>
              </w:rPr>
              <w:t xml:space="preserve">3.3%-3.7% </w:t>
            </w:r>
            <w:r>
              <w:rPr>
                <w:rFonts w:cs="宋体"/>
                <w:sz w:val="18"/>
                <w:szCs w:val="18"/>
              </w:rPr>
              <w:t>。</w:t>
            </w:r>
          </w:p>
          <w:p w:rsidR="00BD0B97" w:rsidRDefault="0077115A">
            <w:pPr>
              <w:spacing w:line="200" w:lineRule="exact"/>
            </w:pPr>
            <w:r>
              <w:rPr>
                <w:rFonts w:cs="宋体"/>
                <w:sz w:val="18"/>
                <w:szCs w:val="18"/>
              </w:rPr>
              <w:t>本产品不同份额针对不同的销售机构及客群进行销售，设置有不同的销售费和管理费，导致业绩基准测算结果不同。</w:t>
            </w:r>
          </w:p>
          <w:p w:rsidR="00BD0B97" w:rsidRDefault="0077115A">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BD0B97" w:rsidRDefault="0077115A">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BD0B9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BD0B97" w:rsidRDefault="0077115A">
            <w:pPr>
              <w:spacing w:line="200" w:lineRule="exact"/>
            </w:pPr>
            <w:r>
              <w:rPr>
                <w:rFonts w:cs="宋体"/>
                <w:b/>
                <w:sz w:val="18"/>
                <w:szCs w:val="18"/>
              </w:rPr>
              <w:t>赎回费：本理财产品暂不收取赎回费。</w:t>
            </w:r>
          </w:p>
          <w:p w:rsidR="00BD0B97" w:rsidRDefault="0077115A">
            <w:pPr>
              <w:spacing w:line="200" w:lineRule="exact"/>
            </w:pPr>
            <w:r>
              <w:rPr>
                <w:rFonts w:cs="宋体"/>
                <w:b/>
                <w:sz w:val="18"/>
                <w:szCs w:val="18"/>
              </w:rPr>
              <w:t>销售费：本理财产品按前一日理财产品资产净值收取销售费，按日计提。</w:t>
            </w:r>
          </w:p>
          <w:p w:rsidR="00BD0B97" w:rsidRDefault="0077115A">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BD0B97" w:rsidRDefault="0077115A">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BD0B97" w:rsidRDefault="0077115A">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BD0B97" w:rsidRDefault="0077115A">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BD0B97" w:rsidRDefault="0077115A">
            <w:pPr>
              <w:spacing w:line="200" w:lineRule="exact"/>
            </w:pPr>
            <w:r>
              <w:rPr>
                <w:rFonts w:cs="宋体"/>
                <w:b/>
                <w:sz w:val="18"/>
                <w:szCs w:val="18"/>
              </w:rPr>
              <w:t>固定管理费：本理财产品按前一日理财产品资产净值收取固定管理费，按日计提。</w:t>
            </w:r>
          </w:p>
          <w:p w:rsidR="00BD0B97" w:rsidRDefault="0077115A">
            <w:pPr>
              <w:spacing w:line="200" w:lineRule="exact"/>
            </w:pPr>
            <w:r>
              <w:rPr>
                <w:rFonts w:cs="宋体"/>
                <w:b/>
                <w:sz w:val="18"/>
                <w:szCs w:val="18"/>
              </w:rPr>
              <w:t>A</w:t>
            </w:r>
            <w:r>
              <w:rPr>
                <w:rFonts w:cs="宋体"/>
                <w:b/>
                <w:sz w:val="18"/>
                <w:szCs w:val="18"/>
              </w:rPr>
              <w:t>份额：固定管理费年化</w:t>
            </w:r>
            <w:r>
              <w:rPr>
                <w:rFonts w:cs="宋体"/>
                <w:b/>
                <w:sz w:val="18"/>
                <w:szCs w:val="18"/>
              </w:rPr>
              <w:t>0.3%</w:t>
            </w:r>
          </w:p>
          <w:p w:rsidR="00BD0B97" w:rsidRDefault="0077115A">
            <w:pPr>
              <w:spacing w:line="200" w:lineRule="exact"/>
            </w:pPr>
            <w:r>
              <w:rPr>
                <w:rFonts w:cs="宋体"/>
                <w:b/>
                <w:sz w:val="18"/>
                <w:szCs w:val="18"/>
              </w:rPr>
              <w:t>B</w:t>
            </w:r>
            <w:r>
              <w:rPr>
                <w:rFonts w:cs="宋体"/>
                <w:b/>
                <w:sz w:val="18"/>
                <w:szCs w:val="18"/>
              </w:rPr>
              <w:t>份额：固定管理费年化</w:t>
            </w:r>
            <w:r>
              <w:rPr>
                <w:rFonts w:cs="宋体"/>
                <w:b/>
                <w:sz w:val="18"/>
                <w:szCs w:val="18"/>
              </w:rPr>
              <w:t>0.25%</w:t>
            </w:r>
          </w:p>
          <w:p w:rsidR="00BD0B97" w:rsidRDefault="0077115A">
            <w:pPr>
              <w:spacing w:line="200" w:lineRule="exact"/>
            </w:pPr>
            <w:r>
              <w:rPr>
                <w:rFonts w:cs="宋体"/>
                <w:b/>
                <w:sz w:val="18"/>
                <w:szCs w:val="18"/>
              </w:rPr>
              <w:t>C</w:t>
            </w:r>
            <w:r>
              <w:rPr>
                <w:rFonts w:cs="宋体"/>
                <w:b/>
                <w:sz w:val="18"/>
                <w:szCs w:val="18"/>
              </w:rPr>
              <w:t>份额：固定管理费年化</w:t>
            </w:r>
            <w:r>
              <w:rPr>
                <w:rFonts w:cs="宋体"/>
                <w:b/>
                <w:sz w:val="18"/>
                <w:szCs w:val="18"/>
              </w:rPr>
              <w:t>0.25%</w:t>
            </w:r>
          </w:p>
          <w:p w:rsidR="00BD0B97" w:rsidRDefault="0077115A">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BD0B97" w:rsidRDefault="0077115A">
            <w:pPr>
              <w:spacing w:line="200" w:lineRule="exact"/>
            </w:pPr>
            <w:r>
              <w:rPr>
                <w:rFonts w:cs="宋体"/>
                <w:b/>
                <w:sz w:val="18"/>
                <w:szCs w:val="18"/>
              </w:rPr>
              <w:t>托管费：本理财产品按前一日理财产品资产净值收取年化</w:t>
            </w:r>
            <w:r>
              <w:rPr>
                <w:rFonts w:cs="宋体"/>
                <w:b/>
                <w:sz w:val="18"/>
                <w:szCs w:val="18"/>
              </w:rPr>
              <w:t>0.02%</w:t>
            </w:r>
            <w:r>
              <w:rPr>
                <w:rFonts w:cs="宋体"/>
                <w:b/>
                <w:sz w:val="18"/>
                <w:szCs w:val="18"/>
              </w:rPr>
              <w:t>的托管费，按日计提。</w:t>
            </w:r>
          </w:p>
          <w:p w:rsidR="00BD0B97" w:rsidRDefault="0077115A">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BD0B97" w:rsidRDefault="0077115A">
            <w:pPr>
              <w:spacing w:line="200" w:lineRule="exact"/>
            </w:pPr>
            <w:r>
              <w:rPr>
                <w:rFonts w:cs="宋体"/>
                <w:b/>
                <w:sz w:val="18"/>
                <w:szCs w:val="18"/>
              </w:rPr>
              <w:t>业绩报酬：</w:t>
            </w:r>
          </w:p>
          <w:p w:rsidR="00BD0B97" w:rsidRDefault="0077115A">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3.1%</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3.1%</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80%</w:t>
            </w:r>
            <w:r>
              <w:rPr>
                <w:rFonts w:cs="宋体"/>
                <w:b/>
                <w:sz w:val="18"/>
                <w:szCs w:val="18"/>
              </w:rPr>
              <w:t>收取业绩报酬。</w:t>
            </w:r>
          </w:p>
          <w:p w:rsidR="00BD0B97" w:rsidRDefault="0077115A">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3.2%</w:t>
            </w:r>
            <w:r>
              <w:rPr>
                <w:rFonts w:cs="宋体"/>
                <w:b/>
                <w:sz w:val="18"/>
                <w:szCs w:val="18"/>
              </w:rPr>
              <w:t>（含）（年化，即产品该份额对应的业绩报酬计提基准）至</w:t>
            </w:r>
            <w:r>
              <w:rPr>
                <w:rFonts w:cs="宋体"/>
                <w:b/>
                <w:sz w:val="18"/>
                <w:szCs w:val="18"/>
              </w:rPr>
              <w:t>3.6%</w:t>
            </w:r>
            <w:r>
              <w:rPr>
                <w:rFonts w:cs="宋体"/>
                <w:b/>
                <w:sz w:val="18"/>
                <w:szCs w:val="18"/>
              </w:rPr>
              <w:t>（不含）之间的部分，管理人将按超过</w:t>
            </w:r>
            <w:r>
              <w:rPr>
                <w:rFonts w:cs="宋体"/>
                <w:b/>
                <w:sz w:val="18"/>
                <w:szCs w:val="18"/>
              </w:rPr>
              <w:t>3.2%</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3.6%</w:t>
            </w:r>
            <w:r>
              <w:rPr>
                <w:rFonts w:cs="宋体"/>
                <w:b/>
                <w:sz w:val="18"/>
                <w:szCs w:val="18"/>
              </w:rPr>
              <w:t>（含）（年化，即产品该份额对应的业绩报酬计提基准）以上的部分，管理人将按超过</w:t>
            </w:r>
            <w:r>
              <w:rPr>
                <w:rFonts w:cs="宋体"/>
                <w:b/>
                <w:sz w:val="18"/>
                <w:szCs w:val="18"/>
              </w:rPr>
              <w:t>3.6%</w:t>
            </w:r>
            <w:r>
              <w:rPr>
                <w:rFonts w:cs="宋体"/>
                <w:b/>
                <w:sz w:val="18"/>
                <w:szCs w:val="18"/>
              </w:rPr>
              <w:t>部分的</w:t>
            </w:r>
            <w:r>
              <w:rPr>
                <w:rFonts w:cs="宋体"/>
                <w:b/>
                <w:sz w:val="18"/>
                <w:szCs w:val="18"/>
              </w:rPr>
              <w:t>80%</w:t>
            </w:r>
            <w:r>
              <w:rPr>
                <w:rFonts w:cs="宋体"/>
                <w:b/>
                <w:sz w:val="18"/>
                <w:szCs w:val="18"/>
              </w:rPr>
              <w:t>收取业绩报酬。</w:t>
            </w:r>
          </w:p>
          <w:p w:rsidR="00BD0B97" w:rsidRDefault="0077115A">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3.3%</w:t>
            </w:r>
            <w:r>
              <w:rPr>
                <w:rFonts w:cs="宋体"/>
                <w:b/>
                <w:sz w:val="18"/>
                <w:szCs w:val="18"/>
              </w:rPr>
              <w:t>（含）（年化，即产品该份额对应的业绩报酬计提基准）至</w:t>
            </w:r>
            <w:r>
              <w:rPr>
                <w:rFonts w:cs="宋体"/>
                <w:b/>
                <w:sz w:val="18"/>
                <w:szCs w:val="18"/>
              </w:rPr>
              <w:t>3.7%</w:t>
            </w:r>
            <w:r>
              <w:rPr>
                <w:rFonts w:cs="宋体"/>
                <w:b/>
                <w:sz w:val="18"/>
                <w:szCs w:val="18"/>
              </w:rPr>
              <w:t>（不含）之间的部分，管理人将按超过</w:t>
            </w:r>
            <w:r>
              <w:rPr>
                <w:rFonts w:cs="宋体"/>
                <w:b/>
                <w:sz w:val="18"/>
                <w:szCs w:val="18"/>
              </w:rPr>
              <w:t>3.3%</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3.7%</w:t>
            </w:r>
            <w:r>
              <w:rPr>
                <w:rFonts w:cs="宋体"/>
                <w:b/>
                <w:sz w:val="18"/>
                <w:szCs w:val="18"/>
              </w:rPr>
              <w:t>（含）（年化，即产品该份额对应的业绩报酬计提基准）以上的部分，管理人将按超过</w:t>
            </w:r>
            <w:r>
              <w:rPr>
                <w:rFonts w:cs="宋体"/>
                <w:b/>
                <w:sz w:val="18"/>
                <w:szCs w:val="18"/>
              </w:rPr>
              <w:t>3.7%</w:t>
            </w:r>
            <w:r>
              <w:rPr>
                <w:rFonts w:cs="宋体"/>
                <w:b/>
                <w:sz w:val="18"/>
                <w:szCs w:val="18"/>
              </w:rPr>
              <w:t>部分的</w:t>
            </w:r>
            <w:r>
              <w:rPr>
                <w:rFonts w:cs="宋体"/>
                <w:b/>
                <w:sz w:val="18"/>
                <w:szCs w:val="18"/>
              </w:rPr>
              <w:t>80%</w:t>
            </w:r>
            <w:r>
              <w:rPr>
                <w:rFonts w:cs="宋体"/>
                <w:b/>
                <w:sz w:val="18"/>
                <w:szCs w:val="18"/>
              </w:rPr>
              <w:t>收取业绩报酬。</w:t>
            </w:r>
          </w:p>
          <w:p w:rsidR="00BD0B97" w:rsidRDefault="0077115A">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BD0B97" w:rsidRDefault="0077115A">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BD0B97" w:rsidRDefault="0077115A">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BD0B97" w:rsidRDefault="0077115A">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BD0B97" w:rsidRDefault="0077115A">
            <w:pPr>
              <w:spacing w:line="200" w:lineRule="exact"/>
            </w:pPr>
            <w:r>
              <w:rPr>
                <w:rFonts w:cs="宋体"/>
                <w:b/>
                <w:sz w:val="18"/>
                <w:szCs w:val="18"/>
              </w:rPr>
              <w:t>计算本区间业绩报酬的公式如下：</w:t>
            </w:r>
          </w:p>
          <w:p w:rsidR="00BD0B97" w:rsidRDefault="0077115A">
            <w:pPr>
              <w:spacing w:line="200" w:lineRule="exact"/>
            </w:pPr>
            <w:r>
              <w:rPr>
                <w:rFonts w:cs="宋体"/>
                <w:b/>
                <w:sz w:val="18"/>
                <w:szCs w:val="18"/>
              </w:rPr>
              <w:t>A={B-C*D*(1+E*F/365)}*G</w:t>
            </w:r>
            <w:r>
              <w:rPr>
                <w:rFonts w:cs="宋体"/>
                <w:b/>
                <w:sz w:val="18"/>
                <w:szCs w:val="18"/>
              </w:rPr>
              <w:t>。</w:t>
            </w:r>
          </w:p>
          <w:p w:rsidR="00BD0B97" w:rsidRDefault="0077115A">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BD0B9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具体详见本理财产品风险揭示书。</w:t>
            </w:r>
          </w:p>
        </w:tc>
      </w:tr>
      <w:tr w:rsidR="00BD0B9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BD0B97" w:rsidRDefault="0077115A">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BD0B97" w:rsidRDefault="0077115A">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BD0B97" w:rsidRDefault="0077115A">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BD0B97" w:rsidRDefault="0077115A">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BD0B97" w:rsidRDefault="0077115A">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BD0B97" w:rsidRDefault="0077115A">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BD0B97" w:rsidRDefault="0077115A">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BD0B9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厦门银行股份有限公司、秦皇岛银行股份有限公司、泰安银行股份有限公司、宁波东海银行股份有限公司、齐鲁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富邦华一银行有限公司、宁波通商银行股份有限公司、中邮邮惠万家银行有限责任公司、日照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响水农村商业银行股份有限公司、江苏靖江农村商业银行股份有限公司、</w:t>
            </w:r>
            <w:r>
              <w:rPr>
                <w:rFonts w:cs="宋体"/>
                <w:sz w:val="18"/>
                <w:szCs w:val="18"/>
              </w:rPr>
              <w:t>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河北银行股份有限公司、江苏姜堰农村商业银行股份有限公司、山西银行股份有限公</w:t>
            </w:r>
            <w:r>
              <w:rPr>
                <w:rFonts w:cs="宋体"/>
                <w:sz w:val="18"/>
                <w:szCs w:val="18"/>
              </w:rPr>
              <w:t>司、江苏如东农村商业银行股份有限公司。管理人有权调整本理财产品的销售机构并进行信息披露。</w:t>
            </w:r>
          </w:p>
          <w:p w:rsidR="00BD0B97" w:rsidRDefault="0077115A">
            <w:pPr>
              <w:spacing w:line="200" w:lineRule="exact"/>
              <w:jc w:val="left"/>
            </w:pPr>
            <w:r>
              <w:rPr>
                <w:rFonts w:cs="宋体"/>
                <w:sz w:val="18"/>
                <w:szCs w:val="18"/>
              </w:rPr>
              <w:t>销售机构主要职责如下：</w:t>
            </w:r>
          </w:p>
          <w:p w:rsidR="00BD0B97" w:rsidRDefault="0077115A">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BD0B97" w:rsidRDefault="0077115A">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BD0B97" w:rsidRDefault="0077115A">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BD0B97" w:rsidRDefault="0077115A">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BD0B97" w:rsidRDefault="0077115A">
            <w:pPr>
              <w:spacing w:line="200" w:lineRule="exact"/>
              <w:jc w:val="left"/>
            </w:pPr>
            <w:r>
              <w:rPr>
                <w:rFonts w:cs="宋体"/>
                <w:sz w:val="18"/>
                <w:szCs w:val="18"/>
              </w:rPr>
              <w:t>5.</w:t>
            </w:r>
            <w:r>
              <w:rPr>
                <w:rFonts w:cs="宋体"/>
                <w:sz w:val="18"/>
                <w:szCs w:val="18"/>
              </w:rPr>
              <w:t>建立健全投资者权益保护管理体系，加强投资者适当性管理；</w:t>
            </w:r>
          </w:p>
          <w:p w:rsidR="00BD0B97" w:rsidRDefault="0077115A">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BD0B9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本理财产品托管人为南京银行股份有限公司，主要职责如下：</w:t>
            </w:r>
          </w:p>
          <w:p w:rsidR="00BD0B97" w:rsidRDefault="0077115A">
            <w:pPr>
              <w:spacing w:line="200" w:lineRule="exact"/>
            </w:pPr>
            <w:r>
              <w:rPr>
                <w:rFonts w:cs="宋体"/>
                <w:sz w:val="18"/>
                <w:szCs w:val="18"/>
              </w:rPr>
              <w:t>1.</w:t>
            </w:r>
            <w:r>
              <w:rPr>
                <w:rFonts w:cs="宋体"/>
                <w:sz w:val="18"/>
                <w:szCs w:val="18"/>
              </w:rPr>
              <w:t>安全保管理财产品财产；</w:t>
            </w:r>
          </w:p>
          <w:p w:rsidR="00BD0B97" w:rsidRDefault="0077115A">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BD0B97" w:rsidRDefault="0077115A">
            <w:pPr>
              <w:spacing w:line="200" w:lineRule="exact"/>
            </w:pPr>
            <w:r>
              <w:rPr>
                <w:rFonts w:cs="宋体"/>
                <w:sz w:val="18"/>
                <w:szCs w:val="18"/>
              </w:rPr>
              <w:t>3.</w:t>
            </w:r>
            <w:r>
              <w:rPr>
                <w:rFonts w:cs="宋体"/>
                <w:sz w:val="18"/>
                <w:szCs w:val="18"/>
              </w:rPr>
              <w:t>按照托管协议约定和管理人的投资指令，及时办理清算、交割事宜；</w:t>
            </w:r>
          </w:p>
          <w:p w:rsidR="00BD0B97" w:rsidRDefault="0077115A">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BD0B97" w:rsidRDefault="0077115A">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BD0B97" w:rsidRDefault="0077115A">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BD0B97" w:rsidRDefault="0077115A">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BD0B97" w:rsidRDefault="0077115A">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BD0B97" w:rsidRDefault="0077115A">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BD0B9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本理财产品合作机构为国联基金管理有限公司、江苏省国际信托有限责任公司、中国对外经济贸易信托有限公司、鑫元基金管理有限公司，上述投资合作机构主要职责对应如下，具体职责以管理人与投资合作机构签署的合同为准。</w:t>
            </w:r>
          </w:p>
          <w:p w:rsidR="00BD0B97" w:rsidRDefault="0077115A">
            <w:pPr>
              <w:spacing w:line="200" w:lineRule="exact"/>
            </w:pPr>
            <w:r>
              <w:rPr>
                <w:rFonts w:cs="宋体"/>
                <w:sz w:val="18"/>
                <w:szCs w:val="18"/>
              </w:rPr>
              <w:t>合作机构为从事理财产品受托投资的机构，主要承担根据合同约定进行受托资金的投资管理的职责：国联基金管理有限公司、江苏省国际信托有限责任公司、中国对外经济贸易信托有限公司、鑫元基金管理有限公司。</w:t>
            </w:r>
          </w:p>
          <w:p w:rsidR="00BD0B97" w:rsidRDefault="0077115A">
            <w:pPr>
              <w:spacing w:line="200" w:lineRule="exact"/>
            </w:pPr>
            <w:r>
              <w:rPr>
                <w:rFonts w:cs="宋体"/>
                <w:sz w:val="18"/>
                <w:szCs w:val="18"/>
              </w:rPr>
              <w:t>若上述合作机构及其职责发生调整，管理人将在本理财产品的定期报告中进行信息披露。</w:t>
            </w:r>
          </w:p>
          <w:p w:rsidR="00BD0B97" w:rsidRDefault="0077115A">
            <w:pPr>
              <w:spacing w:line="200" w:lineRule="exact"/>
            </w:pPr>
            <w:r>
              <w:rPr>
                <w:rFonts w:cs="宋体"/>
                <w:sz w:val="18"/>
                <w:szCs w:val="18"/>
              </w:rPr>
              <w:t>上述投资合作机构简介：</w:t>
            </w:r>
          </w:p>
          <w:p w:rsidR="00BD0B97" w:rsidRDefault="0077115A">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BD0B97" w:rsidRDefault="0077115A">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BD0B97" w:rsidRDefault="0077115A">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BD0B97" w:rsidRDefault="0077115A">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BD0B9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赎回，投资者应考虑产品期限并合理安排自身投资计划。如遇理财产品所投资资产部分或全部提前偿付、因不可抗力因素导致本理财产品必须提前终止等情形时，管理人有权提前终止本产品。</w:t>
            </w:r>
          </w:p>
          <w:p w:rsidR="00BD0B97" w:rsidRDefault="0077115A">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BD0B97" w:rsidRDefault="0077115A">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BD0B97" w:rsidRDefault="0077115A">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BD0B9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0B97" w:rsidRDefault="0077115A">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BD0B97" w:rsidRDefault="0077115A">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BD0B97" w:rsidRDefault="0077115A">
      <w:pPr>
        <w:pStyle w:val="Normal107b2f2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BD0B97" w:rsidRDefault="0077115A">
      <w:pPr>
        <w:pStyle w:val="Normal0e67934d0e67934d"/>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BD0B97" w:rsidRDefault="0077115A">
      <w:pPr>
        <w:pStyle w:val="Normal0e67934d0e67934d"/>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BD0B97" w:rsidRDefault="0077115A">
      <w:pPr>
        <w:pStyle w:val="Normal0e67934d0e67934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BD0B97" w:rsidRDefault="0077115A">
      <w:pPr>
        <w:pStyle w:val="Normal0e67934d0e67934d"/>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BD0B97" w:rsidRDefault="0077115A">
      <w:pPr>
        <w:pStyle w:val="Normal0e67934d0e67934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BD0B97" w:rsidRDefault="0077115A">
      <w:pPr>
        <w:pStyle w:val="Normal0e67934d0e67934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BD0B97" w:rsidRDefault="0077115A">
      <w:pPr>
        <w:pStyle w:val="Normal0e67934d0e67934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BD0B97" w:rsidRDefault="0077115A">
      <w:pPr>
        <w:pStyle w:val="Normal0e67934d0e67934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南银理财珠联璧合鑫逸稳一年</w:t>
      </w:r>
      <w:r>
        <w:rPr>
          <w:b/>
          <w:bCs/>
          <w:color w:val="3D3D3D"/>
          <w:kern w:val="0"/>
          <w:sz w:val="15"/>
          <w:szCs w:val="15"/>
        </w:rPr>
        <w:t>164</w:t>
      </w:r>
      <w:r>
        <w:rPr>
          <w:b/>
          <w:bCs/>
          <w:color w:val="3D3D3D"/>
          <w:kern w:val="0"/>
          <w:sz w:val="15"/>
          <w:szCs w:val="15"/>
        </w:rPr>
        <w:t>期封闭式公募人民币理财产品</w:t>
      </w:r>
      <w:r>
        <w:rPr>
          <w:rFonts w:hint="eastAsia"/>
          <w:color w:val="3D3D3D"/>
          <w:kern w:val="0"/>
          <w:sz w:val="15"/>
          <w:szCs w:val="15"/>
        </w:rPr>
        <w:t>。</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BD0B97" w:rsidRDefault="0077115A">
      <w:pPr>
        <w:pStyle w:val="Normal0e67934d0e67934d"/>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BD0B97" w:rsidRDefault="0077115A">
      <w:pPr>
        <w:pStyle w:val="Normal0e67934d0e67934d"/>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BD0B97" w:rsidRDefault="0077115A">
      <w:pPr>
        <w:pStyle w:val="Normal0e67934d0e67934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BD0B97" w:rsidRDefault="0077115A">
      <w:pPr>
        <w:pStyle w:val="Normal0e67934d0e67934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BD0B97" w:rsidRDefault="0077115A">
      <w:pPr>
        <w:pStyle w:val="1adc1be1cadc1be1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BD0B97" w:rsidRDefault="0077115A">
      <w:pPr>
        <w:pStyle w:val="1adc1be1cadc1be1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BD0B97" w:rsidRDefault="0077115A">
      <w:pPr>
        <w:pStyle w:val="1adc1be1cadc1be1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BD0B97" w:rsidRDefault="0077115A">
      <w:pPr>
        <w:pStyle w:val="1adc1be1cadc1be1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BD0B97" w:rsidRDefault="0077115A">
      <w:pPr>
        <w:pStyle w:val="1adc1be1cadc1be1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BD0B97" w:rsidRDefault="0077115A">
      <w:pPr>
        <w:pStyle w:val="1adc1be1cadc1be1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BD0B97" w:rsidRDefault="0077115A">
      <w:pPr>
        <w:pStyle w:val="Normal0e67934d0e67934d"/>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BD0B97" w:rsidRDefault="0077115A">
      <w:pPr>
        <w:pStyle w:val="Normal0e67934d0e67934d"/>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BD0B97" w:rsidRDefault="0077115A">
      <w:pPr>
        <w:pStyle w:val="Normal0e67934d0e67934d"/>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BD0B97" w:rsidRDefault="0077115A">
      <w:pPr>
        <w:pStyle w:val="Normal107b2f2a"/>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BD0B97" w:rsidRDefault="0077115A">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BD0B97" w:rsidRDefault="0077115A">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BD0B97" w:rsidRDefault="0077115A">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BD0B97" w:rsidRDefault="0077115A">
      <w:pPr>
        <w:pStyle w:val="Normal107b2f2a"/>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BD0B97" w:rsidRDefault="0077115A">
      <w:pPr>
        <w:pStyle w:val="Normal107b2f2a"/>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BD0B97" w:rsidRDefault="0077115A">
      <w:pPr>
        <w:pStyle w:val="Normal107b2f2a"/>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BD0B97" w:rsidRDefault="0077115A">
      <w:pPr>
        <w:spacing w:line="200" w:lineRule="exact"/>
        <w:ind w:firstLine="300"/>
      </w:pPr>
      <w:r>
        <w:rPr>
          <w:rFonts w:cs="宋体"/>
          <w:sz w:val="15"/>
          <w:szCs w:val="20"/>
        </w:rPr>
        <w:t>（一）估值日</w:t>
      </w:r>
    </w:p>
    <w:p w:rsidR="00BD0B97" w:rsidRDefault="0077115A">
      <w:pPr>
        <w:spacing w:line="200" w:lineRule="exact"/>
        <w:ind w:firstLine="300"/>
      </w:pPr>
      <w:r>
        <w:rPr>
          <w:rFonts w:cs="宋体"/>
          <w:sz w:val="15"/>
          <w:szCs w:val="20"/>
        </w:rPr>
        <w:t>本理财产品每个工作日进行估值。</w:t>
      </w:r>
    </w:p>
    <w:p w:rsidR="00BD0B97" w:rsidRDefault="0077115A">
      <w:pPr>
        <w:spacing w:line="200" w:lineRule="exact"/>
        <w:ind w:firstLine="300"/>
      </w:pPr>
      <w:r>
        <w:rPr>
          <w:rFonts w:cs="宋体"/>
          <w:sz w:val="15"/>
          <w:szCs w:val="20"/>
        </w:rPr>
        <w:t>（二）估值对象</w:t>
      </w:r>
    </w:p>
    <w:p w:rsidR="00BD0B97" w:rsidRDefault="0077115A">
      <w:pPr>
        <w:spacing w:line="200" w:lineRule="exact"/>
        <w:ind w:firstLine="300"/>
      </w:pPr>
      <w:r>
        <w:rPr>
          <w:rFonts w:cs="宋体"/>
          <w:sz w:val="15"/>
          <w:szCs w:val="20"/>
        </w:rPr>
        <w:t>本理财产品所拥有的所有资产及负债。</w:t>
      </w:r>
    </w:p>
    <w:p w:rsidR="00BD0B97" w:rsidRDefault="0077115A">
      <w:pPr>
        <w:spacing w:line="200" w:lineRule="exact"/>
        <w:ind w:firstLine="300"/>
      </w:pPr>
      <w:r>
        <w:rPr>
          <w:rFonts w:cs="宋体"/>
          <w:sz w:val="15"/>
          <w:szCs w:val="20"/>
        </w:rPr>
        <w:t>（三）估值目的</w:t>
      </w:r>
    </w:p>
    <w:p w:rsidR="00BD0B97" w:rsidRDefault="0077115A">
      <w:pPr>
        <w:spacing w:line="200" w:lineRule="exact"/>
        <w:ind w:firstLine="300"/>
      </w:pPr>
      <w:r>
        <w:rPr>
          <w:rFonts w:cs="宋体"/>
          <w:sz w:val="15"/>
          <w:szCs w:val="20"/>
        </w:rPr>
        <w:t>客观、准确反映理财产品的价值。</w:t>
      </w:r>
    </w:p>
    <w:p w:rsidR="00BD0B97" w:rsidRDefault="0077115A">
      <w:pPr>
        <w:spacing w:line="200" w:lineRule="exact"/>
        <w:ind w:firstLine="300"/>
      </w:pPr>
      <w:r>
        <w:rPr>
          <w:rFonts w:cs="宋体"/>
          <w:sz w:val="15"/>
          <w:szCs w:val="20"/>
        </w:rPr>
        <w:t>（四）估值原则</w:t>
      </w:r>
    </w:p>
    <w:p w:rsidR="00BD0B97" w:rsidRDefault="0077115A">
      <w:pPr>
        <w:spacing w:line="200" w:lineRule="exact"/>
        <w:ind w:firstLine="300"/>
      </w:pPr>
      <w:r>
        <w:rPr>
          <w:rFonts w:cs="宋体"/>
          <w:sz w:val="15"/>
          <w:szCs w:val="20"/>
        </w:rPr>
        <w:t>理财产品应坚持公允价值计量原则，符合会计准则和监管规定的范围内的可选择摊余成本法计量。</w:t>
      </w:r>
    </w:p>
    <w:p w:rsidR="00BD0B97" w:rsidRDefault="0077115A">
      <w:pPr>
        <w:spacing w:line="200" w:lineRule="exact"/>
        <w:ind w:firstLine="300"/>
      </w:pPr>
      <w:r>
        <w:rPr>
          <w:rFonts w:cs="宋体"/>
          <w:sz w:val="15"/>
          <w:szCs w:val="20"/>
        </w:rPr>
        <w:t>（五）估值方法</w:t>
      </w:r>
    </w:p>
    <w:p w:rsidR="00BD0B97" w:rsidRDefault="0077115A">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BD0B97" w:rsidRDefault="0077115A">
      <w:pPr>
        <w:spacing w:line="200" w:lineRule="exact"/>
        <w:ind w:firstLine="300"/>
      </w:pPr>
      <w:r>
        <w:rPr>
          <w:rFonts w:cs="宋体"/>
          <w:color w:val="000000"/>
          <w:sz w:val="15"/>
          <w:szCs w:val="20"/>
        </w:rPr>
        <w:t>1.</w:t>
      </w:r>
      <w:r>
        <w:rPr>
          <w:rFonts w:cs="宋体"/>
          <w:color w:val="000000"/>
          <w:sz w:val="15"/>
          <w:szCs w:val="20"/>
        </w:rPr>
        <w:t>银行存款、回购等货币市场工具</w:t>
      </w:r>
    </w:p>
    <w:p w:rsidR="00BD0B97" w:rsidRDefault="0077115A">
      <w:pPr>
        <w:spacing w:line="200" w:lineRule="exact"/>
        <w:ind w:firstLine="300"/>
      </w:pPr>
      <w:r>
        <w:rPr>
          <w:rFonts w:cs="宋体"/>
          <w:color w:val="000000"/>
          <w:sz w:val="15"/>
          <w:szCs w:val="20"/>
        </w:rPr>
        <w:t>以本金列示，按商定的利率在实际持有期间内逐日计提。</w:t>
      </w:r>
    </w:p>
    <w:p w:rsidR="00BD0B97" w:rsidRDefault="0077115A">
      <w:pPr>
        <w:spacing w:line="200" w:lineRule="exact"/>
        <w:ind w:firstLine="300"/>
      </w:pPr>
      <w:r>
        <w:rPr>
          <w:rFonts w:cs="宋体"/>
          <w:color w:val="000000"/>
          <w:sz w:val="15"/>
          <w:szCs w:val="20"/>
        </w:rPr>
        <w:t>2.</w:t>
      </w:r>
      <w:r>
        <w:rPr>
          <w:rFonts w:cs="宋体"/>
          <w:color w:val="000000"/>
          <w:sz w:val="15"/>
          <w:szCs w:val="20"/>
        </w:rPr>
        <w:t>债券类资产</w:t>
      </w:r>
    </w:p>
    <w:p w:rsidR="00BD0B97" w:rsidRDefault="0077115A">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BD0B97" w:rsidRDefault="0077115A">
      <w:pPr>
        <w:spacing w:line="200" w:lineRule="exact"/>
        <w:ind w:firstLine="300"/>
      </w:pPr>
      <w:r>
        <w:rPr>
          <w:rFonts w:cs="宋体"/>
          <w:color w:val="000000"/>
          <w:sz w:val="15"/>
          <w:szCs w:val="20"/>
        </w:rPr>
        <w:t>3.</w:t>
      </w:r>
      <w:r>
        <w:rPr>
          <w:rFonts w:cs="宋体"/>
          <w:color w:val="000000"/>
          <w:sz w:val="15"/>
          <w:szCs w:val="20"/>
        </w:rPr>
        <w:t>非标准化债权类资产</w:t>
      </w:r>
    </w:p>
    <w:p w:rsidR="00BD0B97" w:rsidRDefault="0077115A">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w:t>
      </w:r>
    </w:p>
    <w:p w:rsidR="00BD0B97" w:rsidRDefault="0077115A">
      <w:pPr>
        <w:spacing w:line="200" w:lineRule="exact"/>
        <w:ind w:firstLine="300"/>
      </w:pPr>
      <w:r>
        <w:rPr>
          <w:rFonts w:cs="宋体"/>
          <w:color w:val="000000"/>
          <w:sz w:val="15"/>
          <w:szCs w:val="20"/>
        </w:rPr>
        <w:t>4.</w:t>
      </w:r>
      <w:r>
        <w:rPr>
          <w:rFonts w:cs="宋体"/>
          <w:color w:val="000000"/>
          <w:sz w:val="15"/>
          <w:szCs w:val="20"/>
        </w:rPr>
        <w:t>证券投资基金</w:t>
      </w:r>
    </w:p>
    <w:p w:rsidR="00BD0B97" w:rsidRDefault="0077115A">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BD0B97" w:rsidRDefault="0077115A">
      <w:pPr>
        <w:spacing w:line="200" w:lineRule="exact"/>
        <w:ind w:firstLine="300"/>
      </w:pPr>
      <w:r>
        <w:rPr>
          <w:rFonts w:cs="宋体"/>
          <w:color w:val="000000"/>
          <w:sz w:val="15"/>
          <w:szCs w:val="20"/>
        </w:rPr>
        <w:t>5.</w:t>
      </w:r>
      <w:r>
        <w:rPr>
          <w:rFonts w:cs="宋体"/>
          <w:color w:val="000000"/>
          <w:sz w:val="15"/>
          <w:szCs w:val="20"/>
        </w:rPr>
        <w:t>股权类资产</w:t>
      </w:r>
    </w:p>
    <w:p w:rsidR="00BD0B97" w:rsidRDefault="0077115A">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BD0B97" w:rsidRDefault="0077115A">
      <w:pPr>
        <w:spacing w:line="200" w:lineRule="exact"/>
        <w:ind w:firstLine="300"/>
      </w:pPr>
      <w:r>
        <w:rPr>
          <w:rFonts w:cs="宋体"/>
          <w:color w:val="000000"/>
          <w:sz w:val="15"/>
          <w:szCs w:val="20"/>
        </w:rPr>
        <w:t>6.</w:t>
      </w:r>
      <w:r>
        <w:rPr>
          <w:rFonts w:cs="宋体"/>
          <w:color w:val="000000"/>
          <w:sz w:val="15"/>
          <w:szCs w:val="20"/>
        </w:rPr>
        <w:t>资管计划、信托计划等资产</w:t>
      </w:r>
    </w:p>
    <w:p w:rsidR="00BD0B97" w:rsidRDefault="0077115A">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BD0B97" w:rsidRDefault="0077115A">
      <w:pPr>
        <w:spacing w:line="200" w:lineRule="exact"/>
        <w:ind w:firstLine="300"/>
      </w:pPr>
      <w:r>
        <w:rPr>
          <w:rFonts w:cs="宋体"/>
          <w:color w:val="000000"/>
          <w:sz w:val="15"/>
          <w:szCs w:val="20"/>
        </w:rPr>
        <w:t>7.</w:t>
      </w:r>
      <w:r>
        <w:rPr>
          <w:rFonts w:cs="宋体"/>
          <w:color w:val="000000"/>
          <w:sz w:val="15"/>
          <w:szCs w:val="20"/>
        </w:rPr>
        <w:t>其他资产</w:t>
      </w:r>
    </w:p>
    <w:p w:rsidR="00BD0B97" w:rsidRDefault="0077115A">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BD0B97" w:rsidRDefault="0077115A">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BD0B97" w:rsidRDefault="0077115A">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如有新增事项或变更事项，按国家最新规定或管理人最新的约定估值。</w:t>
      </w:r>
    </w:p>
    <w:p w:rsidR="00BD0B97" w:rsidRDefault="0077115A">
      <w:pPr>
        <w:spacing w:line="200" w:lineRule="exact"/>
        <w:ind w:firstLine="300"/>
      </w:pPr>
      <w:r>
        <w:rPr>
          <w:rFonts w:cs="宋体"/>
          <w:sz w:val="15"/>
          <w:szCs w:val="20"/>
        </w:rPr>
        <w:t>（六）估值错误及暂停估值</w:t>
      </w:r>
    </w:p>
    <w:p w:rsidR="00BD0B97" w:rsidRDefault="0077115A">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BD0B97" w:rsidRDefault="0077115A">
      <w:pPr>
        <w:pStyle w:val="Normal107b2f2a"/>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BD0B97" w:rsidRDefault="0077115A">
      <w:pPr>
        <w:pStyle w:val="Normal107b2f2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BD0B97" w:rsidRDefault="0077115A">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BD0B97" w:rsidRDefault="0077115A">
      <w:pPr>
        <w:pStyle w:val="Normal107b2f2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BD0B97" w:rsidRDefault="0077115A">
      <w:pPr>
        <w:pStyle w:val="Normal107b2f2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BD0B97" w:rsidRDefault="0077115A">
      <w:pPr>
        <w:pStyle w:val="Normal107b2f2a"/>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BD0B97" w:rsidRDefault="0077115A">
      <w:pPr>
        <w:pStyle w:val="Normal107b2f2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BD0B97" w:rsidRDefault="0077115A">
      <w:pPr>
        <w:pStyle w:val="Normal107b2f2a"/>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BD0B97" w:rsidRDefault="0077115A">
      <w:pPr>
        <w:pStyle w:val="Normal107b2f2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BD0B97" w:rsidRDefault="0077115A">
      <w:pPr>
        <w:pStyle w:val="Normal107b2f2a"/>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BD0B97" w:rsidRDefault="0077115A">
      <w:pPr>
        <w:pStyle w:val="Normal107b2f2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BD0B97" w:rsidRDefault="0077115A">
      <w:pPr>
        <w:pStyle w:val="Normal107b2f2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BD0B97" w:rsidRDefault="0077115A">
      <w:pPr>
        <w:pStyle w:val="Normal107b2f2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BD0B97" w:rsidRDefault="0077115A">
      <w:pPr>
        <w:pStyle w:val="Normal107b2f2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BD0B97" w:rsidRDefault="0077115A">
      <w:pPr>
        <w:pStyle w:val="Normal107b2f2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BD0B97" w:rsidRDefault="0077115A">
      <w:pPr>
        <w:pStyle w:val="Normal107b2f2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BD0B97" w:rsidRDefault="0077115A">
      <w:pPr>
        <w:pStyle w:val="Normal107b2f2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BD0B97" w:rsidRDefault="0077115A">
      <w:pPr>
        <w:pStyle w:val="Normal107b2f2a"/>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BD0B97" w:rsidRDefault="0077115A">
      <w:pPr>
        <w:pStyle w:val="Normal107b2f2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BD0B97" w:rsidRDefault="0077115A">
      <w:pPr>
        <w:pStyle w:val="Normal107b2f2a"/>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BD0B97" w:rsidRDefault="0077115A">
      <w:pPr>
        <w:pStyle w:val="Normal107b2f2a"/>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BD0B97" w:rsidRDefault="0077115A">
      <w:pPr>
        <w:pStyle w:val="Normal107b2f2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D0B97" w:rsidRDefault="0077115A">
      <w:pPr>
        <w:pStyle w:val="Normal107b2f2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D0B97" w:rsidRDefault="0077115A">
      <w:pPr>
        <w:pStyle w:val="Normal107b2f2a"/>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BD0B97" w:rsidRDefault="0077115A">
      <w:pPr>
        <w:pStyle w:val="Normal107b2f2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BD0B97" w:rsidRDefault="0077115A">
      <w:pPr>
        <w:pStyle w:val="Normal107b2f2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BD0B97" w:rsidRDefault="0077115A">
      <w:pPr>
        <w:pStyle w:val="Normal107b2f2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BD0B97" w:rsidRDefault="0077115A">
      <w:pPr>
        <w:pStyle w:val="Normal107b2f2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BD0B97" w:rsidRDefault="0077115A">
      <w:pPr>
        <w:pStyle w:val="Normal107b2f2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BD0B97" w:rsidRDefault="0077115A">
      <w:pPr>
        <w:pStyle w:val="Normal107b2f2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BD0B97" w:rsidRDefault="0077115A">
      <w:pPr>
        <w:pStyle w:val="Normal107b2f2a"/>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BD0B97" w:rsidRDefault="0077115A">
      <w:pPr>
        <w:pStyle w:val="Normal107b2f2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BD0B97" w:rsidRDefault="0077115A">
      <w:pPr>
        <w:pStyle w:val="Normal107b2f2a"/>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BD0B97" w:rsidRDefault="0077115A">
      <w:pPr>
        <w:pStyle w:val="Normal107b2f2a"/>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BD0B97" w:rsidRDefault="0077115A">
      <w:pPr>
        <w:pStyle w:val="Normal107b2f2a"/>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BD0B97" w:rsidRDefault="00BD0B97">
      <w:pPr>
        <w:pStyle w:val="Normal107b2f2a"/>
        <w:widowControl/>
        <w:rPr>
          <w:b/>
          <w:bCs/>
          <w:color w:val="3D3D3D"/>
          <w:kern w:val="0"/>
          <w:sz w:val="15"/>
          <w:szCs w:val="15"/>
        </w:rPr>
      </w:pPr>
    </w:p>
    <w:p w:rsidR="00BD0B97" w:rsidRDefault="0077115A">
      <w:pPr>
        <w:pStyle w:val="Normal107b2f2a"/>
        <w:widowControl/>
        <w:rPr>
          <w:b/>
          <w:bCs/>
          <w:color w:val="3D3D3D"/>
          <w:kern w:val="0"/>
          <w:sz w:val="15"/>
          <w:szCs w:val="15"/>
        </w:rPr>
      </w:pPr>
      <w:r>
        <w:rPr>
          <w:rFonts w:hint="eastAsia"/>
          <w:b/>
          <w:bCs/>
          <w:color w:val="3D3D3D"/>
          <w:kern w:val="0"/>
          <w:sz w:val="15"/>
          <w:szCs w:val="15"/>
        </w:rPr>
        <w:t>风险提示：</w:t>
      </w:r>
    </w:p>
    <w:p w:rsidR="00BD0B97" w:rsidRDefault="0077115A">
      <w:pPr>
        <w:pStyle w:val="Normal107b2f2a"/>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7762FD" w:rsidRDefault="007762FD">
      <w:pPr>
        <w:jc w:val="center"/>
        <w:rPr>
          <w:rFonts w:eastAsia="黑体"/>
          <w:b/>
          <w:bCs/>
          <w:sz w:val="36"/>
          <w:szCs w:val="20"/>
        </w:rPr>
      </w:pPr>
    </w:p>
    <w:p w:rsidR="007762FD" w:rsidRDefault="0017797E">
      <w:pPr>
        <w:jc w:val="center"/>
        <w:rPr>
          <w:rFonts w:eastAsia="黑体"/>
          <w:b/>
          <w:bCs/>
          <w:sz w:val="36"/>
          <w:szCs w:val="20"/>
        </w:rPr>
      </w:pPr>
      <w:r>
        <w:rPr>
          <w:rFonts w:eastAsia="黑体"/>
          <w:b/>
          <w:bCs/>
          <w:sz w:val="36"/>
          <w:szCs w:val="20"/>
        </w:rPr>
        <w:t>理财产品销售协议书</w:t>
      </w:r>
    </w:p>
    <w:p w:rsidR="007762FD" w:rsidRDefault="007762FD">
      <w:pPr>
        <w:tabs>
          <w:tab w:val="left" w:pos="0"/>
        </w:tabs>
        <w:jc w:val="center"/>
        <w:rPr>
          <w:sz w:val="22"/>
          <w:szCs w:val="28"/>
        </w:rPr>
      </w:pPr>
    </w:p>
    <w:p w:rsidR="007762FD" w:rsidRDefault="007762FD">
      <w:pPr>
        <w:tabs>
          <w:tab w:val="left" w:pos="0"/>
        </w:tabs>
        <w:jc w:val="center"/>
        <w:rPr>
          <w:sz w:val="22"/>
          <w:szCs w:val="28"/>
        </w:rPr>
      </w:pPr>
    </w:p>
    <w:p w:rsidR="007762FD" w:rsidRDefault="007762FD">
      <w:pPr>
        <w:tabs>
          <w:tab w:val="left" w:pos="0"/>
        </w:tabs>
        <w:jc w:val="center"/>
        <w:rPr>
          <w:sz w:val="22"/>
          <w:szCs w:val="28"/>
        </w:rPr>
      </w:pPr>
    </w:p>
    <w:p w:rsidR="007762FD" w:rsidRDefault="007762FD">
      <w:pPr>
        <w:tabs>
          <w:tab w:val="left" w:pos="0"/>
        </w:tabs>
        <w:jc w:val="center"/>
        <w:rPr>
          <w:sz w:val="22"/>
          <w:szCs w:val="28"/>
        </w:rPr>
      </w:pPr>
    </w:p>
    <w:p w:rsidR="007762FD" w:rsidRDefault="007762FD">
      <w:pPr>
        <w:tabs>
          <w:tab w:val="left" w:pos="0"/>
        </w:tabs>
        <w:jc w:val="center"/>
        <w:rPr>
          <w:sz w:val="22"/>
          <w:szCs w:val="28"/>
        </w:rPr>
      </w:pPr>
    </w:p>
    <w:p w:rsidR="007762FD" w:rsidRDefault="007762FD">
      <w:pPr>
        <w:tabs>
          <w:tab w:val="left" w:pos="0"/>
        </w:tabs>
        <w:jc w:val="center"/>
        <w:rPr>
          <w:sz w:val="22"/>
          <w:szCs w:val="28"/>
        </w:rPr>
      </w:pPr>
    </w:p>
    <w:p w:rsidR="007762FD" w:rsidRDefault="007762FD">
      <w:pPr>
        <w:tabs>
          <w:tab w:val="left" w:pos="0"/>
        </w:tabs>
        <w:jc w:val="center"/>
        <w:rPr>
          <w:sz w:val="22"/>
          <w:szCs w:val="28"/>
        </w:rPr>
      </w:pPr>
    </w:p>
    <w:p w:rsidR="007762FD" w:rsidRDefault="007762FD">
      <w:pPr>
        <w:tabs>
          <w:tab w:val="left" w:pos="0"/>
        </w:tabs>
        <w:jc w:val="center"/>
        <w:rPr>
          <w:sz w:val="22"/>
          <w:szCs w:val="28"/>
        </w:rPr>
      </w:pPr>
    </w:p>
    <w:p w:rsidR="007762FD" w:rsidRDefault="0017797E">
      <w:pPr>
        <w:tabs>
          <w:tab w:val="left" w:pos="0"/>
        </w:tabs>
        <w:jc w:val="center"/>
        <w:rPr>
          <w:sz w:val="22"/>
          <w:szCs w:val="28"/>
        </w:rPr>
      </w:pPr>
      <w:r>
        <w:rPr>
          <w:sz w:val="22"/>
          <w:szCs w:val="28"/>
        </w:rPr>
        <w:t>编制单位：</w:t>
      </w:r>
      <w:r>
        <w:rPr>
          <w:sz w:val="22"/>
          <w:szCs w:val="28"/>
          <w:u w:val="single"/>
        </w:rPr>
        <w:t>南银理财有限责任公司</w:t>
      </w:r>
    </w:p>
    <w:p w:rsidR="007762FD" w:rsidRDefault="0017797E">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rsidR="007762FD" w:rsidRDefault="0017797E">
      <w:pPr>
        <w:adjustRightInd w:val="0"/>
        <w:snapToGrid w:val="0"/>
        <w:rPr>
          <w:b/>
          <w:bCs/>
          <w:sz w:val="22"/>
          <w:szCs w:val="28"/>
        </w:rPr>
      </w:pPr>
      <w:bookmarkStart w:id="0" w:name="_Toc310836824"/>
      <w:bookmarkStart w:id="1" w:name="_Toc310243213"/>
      <w:bookmarkStart w:id="2" w:name="_Toc310243214"/>
      <w:bookmarkStart w:id="3" w:name="_Toc310836823"/>
      <w:bookmarkStart w:id="4" w:name="_Toc310243215"/>
      <w:bookmarkStart w:id="5" w:name="_Toc310770283"/>
      <w:bookmarkStart w:id="6" w:name="_Toc310770513"/>
      <w:bookmarkStart w:id="7" w:name="_Toc310770284"/>
      <w:bookmarkStart w:id="8" w:name="_Toc310836822"/>
      <w:bookmarkStart w:id="9" w:name="_Toc310773099"/>
      <w:bookmarkStart w:id="10" w:name="_Toc310770511"/>
      <w:bookmarkStart w:id="11" w:name="_Toc310770285"/>
      <w:bookmarkStart w:id="12" w:name="_Toc310770512"/>
      <w:bookmarkStart w:id="13" w:name="_Toc310770287"/>
      <w:bookmarkStart w:id="14" w:name="_Toc310773098"/>
      <w:bookmarkStart w:id="15" w:name="_Toc3107731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bCs/>
          <w:sz w:val="22"/>
          <w:szCs w:val="28"/>
        </w:rPr>
        <w:lastRenderedPageBreak/>
        <w:t>风险提示：</w:t>
      </w:r>
    </w:p>
    <w:p w:rsidR="007762FD" w:rsidRDefault="0017797E">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6" w:name="_Hlk41679176"/>
      <w:r>
        <w:rPr>
          <w:b/>
          <w:bCs/>
          <w:sz w:val="22"/>
          <w:szCs w:val="28"/>
        </w:rPr>
        <w:t>《投资者权益须知》</w:t>
      </w:r>
      <w:bookmarkEnd w:id="16"/>
      <w:r>
        <w:rPr>
          <w:b/>
          <w:bCs/>
          <w:sz w:val="22"/>
          <w:szCs w:val="28"/>
        </w:rPr>
        <w:t>《理财产品投资协议书》，充分认识投资风险，谨慎投资。</w:t>
      </w:r>
    </w:p>
    <w:p w:rsidR="007762FD" w:rsidRDefault="007762FD">
      <w:pPr>
        <w:tabs>
          <w:tab w:val="left" w:pos="7920"/>
          <w:tab w:val="left" w:pos="8100"/>
        </w:tabs>
        <w:rPr>
          <w:b/>
          <w:bCs/>
          <w:sz w:val="22"/>
          <w:szCs w:val="22"/>
        </w:rPr>
      </w:pPr>
    </w:p>
    <w:p w:rsidR="007762FD" w:rsidRDefault="007762FD">
      <w:pPr>
        <w:jc w:val="center"/>
        <w:rPr>
          <w:rFonts w:eastAsia="黑体"/>
          <w:b/>
          <w:bCs/>
          <w:sz w:val="36"/>
          <w:szCs w:val="20"/>
        </w:rPr>
      </w:pPr>
    </w:p>
    <w:p w:rsidR="007762FD" w:rsidRDefault="0017797E">
      <w:pPr>
        <w:jc w:val="center"/>
        <w:rPr>
          <w:rFonts w:eastAsia="黑体"/>
          <w:b/>
          <w:bCs/>
          <w:sz w:val="36"/>
          <w:szCs w:val="20"/>
        </w:rPr>
      </w:pPr>
      <w:r>
        <w:rPr>
          <w:rFonts w:eastAsia="黑体"/>
          <w:b/>
          <w:bCs/>
          <w:sz w:val="36"/>
          <w:szCs w:val="20"/>
        </w:rPr>
        <w:t>理财产品销售协议书</w:t>
      </w:r>
    </w:p>
    <w:p w:rsidR="007762FD" w:rsidRDefault="007762FD">
      <w:pPr>
        <w:ind w:firstLineChars="200" w:firstLine="400"/>
        <w:rPr>
          <w:rFonts w:eastAsia="方正细黑一简体"/>
          <w:sz w:val="20"/>
          <w:szCs w:val="20"/>
        </w:rPr>
      </w:pPr>
    </w:p>
    <w:p w:rsidR="007762FD" w:rsidRDefault="0017797E">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rsidR="007762FD" w:rsidRDefault="0017797E">
      <w:pPr>
        <w:numPr>
          <w:ilvl w:val="0"/>
          <w:numId w:val="5"/>
        </w:numPr>
        <w:ind w:firstLineChars="200" w:firstLine="442"/>
        <w:rPr>
          <w:b/>
          <w:bCs/>
          <w:spacing w:val="10"/>
          <w:sz w:val="20"/>
          <w:szCs w:val="20"/>
        </w:rPr>
      </w:pPr>
      <w:r>
        <w:rPr>
          <w:b/>
          <w:bCs/>
          <w:spacing w:val="10"/>
          <w:sz w:val="20"/>
          <w:szCs w:val="20"/>
        </w:rPr>
        <w:t>名词释义</w:t>
      </w:r>
    </w:p>
    <w:p w:rsidR="007762FD" w:rsidRDefault="0017797E">
      <w:pPr>
        <w:pStyle w:val="10"/>
        <w:ind w:left="360" w:firstLine="340"/>
        <w:rPr>
          <w:spacing w:val="10"/>
          <w:sz w:val="20"/>
          <w:szCs w:val="20"/>
        </w:rPr>
      </w:pPr>
      <w:r>
        <w:rPr>
          <w:spacing w:val="10"/>
          <w:sz w:val="20"/>
          <w:szCs w:val="20"/>
        </w:rPr>
        <w:t>本协议项下用词与对应期次的《理财产品说明书》中相关用词含义一致，本协议另有说明的除外。</w:t>
      </w:r>
    </w:p>
    <w:p w:rsidR="007762FD" w:rsidRDefault="0017797E">
      <w:pPr>
        <w:numPr>
          <w:ilvl w:val="0"/>
          <w:numId w:val="5"/>
        </w:numPr>
        <w:ind w:firstLineChars="200" w:firstLine="442"/>
        <w:rPr>
          <w:b/>
          <w:bCs/>
          <w:spacing w:val="10"/>
          <w:sz w:val="20"/>
          <w:szCs w:val="20"/>
        </w:rPr>
      </w:pPr>
      <w:r>
        <w:rPr>
          <w:rFonts w:hint="eastAsia"/>
          <w:b/>
          <w:bCs/>
          <w:spacing w:val="10"/>
          <w:sz w:val="20"/>
          <w:szCs w:val="20"/>
        </w:rPr>
        <w:t>销售机构</w:t>
      </w:r>
    </w:p>
    <w:p w:rsidR="007762FD" w:rsidRDefault="0017797E">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rsidR="007762FD" w:rsidRDefault="0017797E">
      <w:pPr>
        <w:numPr>
          <w:ilvl w:val="0"/>
          <w:numId w:val="5"/>
        </w:numPr>
        <w:ind w:firstLineChars="200" w:firstLine="442"/>
        <w:rPr>
          <w:b/>
          <w:bCs/>
          <w:spacing w:val="10"/>
          <w:sz w:val="20"/>
          <w:szCs w:val="20"/>
        </w:rPr>
      </w:pPr>
      <w:r>
        <w:rPr>
          <w:b/>
          <w:bCs/>
          <w:spacing w:val="10"/>
          <w:sz w:val="20"/>
          <w:szCs w:val="20"/>
        </w:rPr>
        <w:t>甲方的权利与义务：</w:t>
      </w:r>
    </w:p>
    <w:p w:rsidR="007762FD" w:rsidRDefault="0017797E">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rsidR="007762FD" w:rsidRDefault="0017797E">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rsidR="007762FD" w:rsidRDefault="0017797E">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rsidR="007762FD" w:rsidRDefault="0017797E">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rsidR="007762FD" w:rsidRDefault="0017797E">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rsidR="007762FD" w:rsidRDefault="0017797E">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rsidR="007762FD" w:rsidRDefault="0017797E">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rsidR="007762FD" w:rsidRDefault="0017797E">
      <w:pPr>
        <w:numPr>
          <w:ilvl w:val="0"/>
          <w:numId w:val="6"/>
        </w:numPr>
        <w:ind w:firstLineChars="200" w:firstLine="440"/>
        <w:rPr>
          <w:spacing w:val="10"/>
          <w:sz w:val="20"/>
          <w:szCs w:val="20"/>
        </w:rPr>
      </w:pPr>
      <w:r>
        <w:rPr>
          <w:spacing w:val="10"/>
          <w:sz w:val="20"/>
          <w:szCs w:val="20"/>
        </w:rPr>
        <w:t>由于投资管理或者获取投资标的的需要，甲方有权决定以理财产品财产支付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rsidR="007762FD" w:rsidRDefault="0017797E">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rsidR="007762FD" w:rsidRDefault="0017797E">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rsidR="007762FD" w:rsidRDefault="0017797E">
      <w:pPr>
        <w:numPr>
          <w:ilvl w:val="0"/>
          <w:numId w:val="6"/>
        </w:numPr>
        <w:ind w:firstLineChars="200" w:firstLine="402"/>
        <w:rPr>
          <w:b/>
          <w:bCs/>
          <w:spacing w:val="10"/>
          <w:sz w:val="20"/>
          <w:szCs w:val="20"/>
        </w:rPr>
      </w:pPr>
      <w:r>
        <w:rPr>
          <w:b/>
          <w:bCs/>
          <w:color w:val="000000"/>
          <w:kern w:val="0"/>
          <w:sz w:val="20"/>
          <w:szCs w:val="16"/>
        </w:rPr>
        <w:lastRenderedPageBreak/>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rsidR="007762FD" w:rsidRDefault="0017797E">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rsidR="007762FD" w:rsidRDefault="0017797E">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rsidR="007762FD" w:rsidRDefault="0017797E">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rsidR="007762FD" w:rsidRDefault="0017797E">
      <w:pPr>
        <w:numPr>
          <w:ilvl w:val="0"/>
          <w:numId w:val="6"/>
        </w:numPr>
        <w:ind w:firstLineChars="200" w:firstLine="440"/>
        <w:rPr>
          <w:spacing w:val="10"/>
          <w:sz w:val="20"/>
          <w:szCs w:val="20"/>
        </w:rPr>
      </w:pPr>
      <w:r>
        <w:rPr>
          <w:spacing w:val="10"/>
          <w:sz w:val="20"/>
          <w:szCs w:val="20"/>
        </w:rPr>
        <w:t>甲方有权调整本理财产品的认购或申购起点、单笔认购或申购上限等要素。</w:t>
      </w:r>
    </w:p>
    <w:p w:rsidR="007762FD" w:rsidRDefault="0017797E">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rsidR="007762FD" w:rsidRDefault="0017797E">
      <w:pPr>
        <w:numPr>
          <w:ilvl w:val="0"/>
          <w:numId w:val="6"/>
        </w:numPr>
        <w:ind w:firstLineChars="200" w:firstLine="442"/>
        <w:rPr>
          <w:b/>
          <w:bCs/>
          <w:spacing w:val="10"/>
          <w:sz w:val="20"/>
          <w:szCs w:val="20"/>
        </w:rPr>
      </w:pPr>
      <w:bookmarkStart w:id="17"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rsidR="007762FD" w:rsidRDefault="0017797E">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rsidR="007762FD" w:rsidRDefault="0017797E">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rsidR="007762FD" w:rsidRDefault="0017797E">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7"/>
    <w:p w:rsidR="007762FD" w:rsidRDefault="0017797E">
      <w:pPr>
        <w:numPr>
          <w:ilvl w:val="0"/>
          <w:numId w:val="6"/>
        </w:numPr>
        <w:ind w:firstLineChars="200" w:firstLine="440"/>
        <w:rPr>
          <w:spacing w:val="10"/>
          <w:sz w:val="20"/>
          <w:szCs w:val="20"/>
        </w:rPr>
      </w:pPr>
      <w:r>
        <w:rPr>
          <w:spacing w:val="10"/>
          <w:sz w:val="20"/>
          <w:szCs w:val="20"/>
        </w:rPr>
        <w:t>法律法规规定及</w:t>
      </w:r>
      <w:bookmarkStart w:id="18" w:name="_Hlk41902131"/>
      <w:r>
        <w:rPr>
          <w:spacing w:val="10"/>
          <w:sz w:val="20"/>
          <w:szCs w:val="20"/>
        </w:rPr>
        <w:t>理财产品</w:t>
      </w:r>
      <w:bookmarkEnd w:id="18"/>
      <w:r>
        <w:rPr>
          <w:spacing w:val="10"/>
          <w:sz w:val="20"/>
          <w:szCs w:val="20"/>
        </w:rPr>
        <w:t>销售文件约定的其他权利</w:t>
      </w:r>
      <w:r>
        <w:rPr>
          <w:rFonts w:hint="eastAsia"/>
          <w:spacing w:val="10"/>
          <w:sz w:val="20"/>
          <w:szCs w:val="20"/>
        </w:rPr>
        <w:t>与义务</w:t>
      </w:r>
      <w:r>
        <w:rPr>
          <w:spacing w:val="10"/>
          <w:sz w:val="20"/>
          <w:szCs w:val="20"/>
        </w:rPr>
        <w:t>。</w:t>
      </w:r>
    </w:p>
    <w:p w:rsidR="007762FD" w:rsidRDefault="0017797E">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rsidR="007762FD" w:rsidRDefault="0017797E">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19"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19"/>
    <w:p w:rsidR="007762FD" w:rsidRDefault="0017797E">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rsidR="007762FD" w:rsidRDefault="0017797E">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rsidR="007762FD" w:rsidRDefault="0017797E">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rsidR="007762FD" w:rsidRDefault="0017797E">
      <w:pPr>
        <w:numPr>
          <w:ilvl w:val="0"/>
          <w:numId w:val="7"/>
        </w:numPr>
        <w:ind w:firstLine="340"/>
        <w:rPr>
          <w:spacing w:val="10"/>
          <w:sz w:val="20"/>
          <w:szCs w:val="20"/>
        </w:rPr>
      </w:pPr>
      <w:r>
        <w:rPr>
          <w:spacing w:val="10"/>
          <w:sz w:val="20"/>
          <w:szCs w:val="20"/>
        </w:rPr>
        <w:t>乙方是一家按照中国法律正式注册并有效存续的法人或其他组织，具有拥有和支配其财产以及继续进行其正在进行之业务的全部权力和授权。（机构投资者适用）</w:t>
      </w:r>
    </w:p>
    <w:p w:rsidR="007762FD" w:rsidRDefault="0017797E">
      <w:pPr>
        <w:numPr>
          <w:ilvl w:val="0"/>
          <w:numId w:val="7"/>
        </w:numPr>
        <w:ind w:firstLine="340"/>
        <w:rPr>
          <w:spacing w:val="10"/>
          <w:sz w:val="20"/>
          <w:szCs w:val="20"/>
        </w:rPr>
      </w:pPr>
      <w:r>
        <w:rPr>
          <w:spacing w:val="10"/>
          <w:sz w:val="20"/>
          <w:szCs w:val="20"/>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7762FD" w:rsidRDefault="0017797E">
      <w:pPr>
        <w:numPr>
          <w:ilvl w:val="0"/>
          <w:numId w:val="7"/>
        </w:numPr>
        <w:ind w:firstLine="340"/>
        <w:rPr>
          <w:spacing w:val="10"/>
          <w:sz w:val="20"/>
          <w:szCs w:val="20"/>
        </w:rPr>
      </w:pPr>
      <w:r>
        <w:rPr>
          <w:spacing w:val="10"/>
          <w:sz w:val="20"/>
          <w:szCs w:val="20"/>
        </w:rPr>
        <w:t>乙方保证，乙方系符合监管规定要求的合格投资者。（私募产品投资者适用）</w:t>
      </w:r>
    </w:p>
    <w:p w:rsidR="007762FD" w:rsidRDefault="0017797E">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rsidR="007762FD" w:rsidRDefault="0017797E">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rsidR="007762FD" w:rsidRDefault="0017797E">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0" w:name="_Hlk41902655"/>
      <w:r>
        <w:rPr>
          <w:spacing w:val="10"/>
          <w:sz w:val="20"/>
          <w:szCs w:val="20"/>
        </w:rPr>
        <w:t>或其他法律文件</w:t>
      </w:r>
      <w:bookmarkEnd w:id="20"/>
      <w:r>
        <w:rPr>
          <w:spacing w:val="10"/>
          <w:sz w:val="20"/>
          <w:szCs w:val="20"/>
        </w:rPr>
        <w:t>。乙方应在签署本协议的同时按照对应期次的《理财产品说明书》的约定在授权指定账户存入足额的资金以确保账户余额大于或等于认购或申购金额。</w:t>
      </w:r>
    </w:p>
    <w:p w:rsidR="007762FD" w:rsidRDefault="0017797E">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rsidR="007762FD" w:rsidRDefault="0017797E">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rsidR="007762FD" w:rsidRDefault="0017797E">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1"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1"/>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机构并办理相应的变更手续，由此导致的一切后果由乙方承担。</w:t>
      </w:r>
    </w:p>
    <w:p w:rsidR="007762FD" w:rsidRDefault="0017797E">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rsidR="007762FD" w:rsidRDefault="0017797E">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rsidR="007762FD" w:rsidRDefault="0017797E">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2" w:name="_Hlk41902728"/>
    </w:p>
    <w:p w:rsidR="007762FD" w:rsidRDefault="0017797E">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rsidR="007762FD" w:rsidRDefault="0017797E">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7762FD" w:rsidRDefault="0017797E">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rsidR="007762FD" w:rsidRDefault="0017797E">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7762FD" w:rsidRDefault="0017797E">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762FD" w:rsidRDefault="0017797E">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2"/>
    </w:p>
    <w:p w:rsidR="007762FD" w:rsidRDefault="0017797E">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rsidR="007762FD" w:rsidRDefault="0017797E">
      <w:pPr>
        <w:numPr>
          <w:ilvl w:val="0"/>
          <w:numId w:val="9"/>
        </w:numPr>
        <w:ind w:firstLine="340"/>
        <w:rPr>
          <w:spacing w:val="10"/>
          <w:sz w:val="20"/>
          <w:szCs w:val="20"/>
        </w:rPr>
      </w:pPr>
      <w:r>
        <w:rPr>
          <w:spacing w:val="10"/>
          <w:sz w:val="20"/>
          <w:szCs w:val="20"/>
        </w:rPr>
        <w:t>理财产品认购或申购：参照《投资者权益须知》约定。</w:t>
      </w:r>
    </w:p>
    <w:p w:rsidR="007762FD" w:rsidRDefault="0017797E">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rsidR="007762FD" w:rsidRDefault="0017797E">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rsidR="007762FD" w:rsidRDefault="0017797E">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rsidR="007762FD" w:rsidRDefault="0017797E">
      <w:pPr>
        <w:numPr>
          <w:ilvl w:val="0"/>
          <w:numId w:val="9"/>
        </w:numPr>
        <w:ind w:firstLineChars="200" w:firstLine="440"/>
        <w:rPr>
          <w:spacing w:val="10"/>
          <w:sz w:val="20"/>
          <w:szCs w:val="20"/>
        </w:rPr>
      </w:pPr>
      <w:r>
        <w:rPr>
          <w:spacing w:val="10"/>
          <w:sz w:val="20"/>
          <w:szCs w:val="20"/>
        </w:rPr>
        <w:t>理财产品赎回</w:t>
      </w:r>
      <w:bookmarkStart w:id="23" w:name="_Hlk41902781"/>
      <w:r>
        <w:rPr>
          <w:spacing w:val="10"/>
          <w:sz w:val="20"/>
          <w:szCs w:val="20"/>
        </w:rPr>
        <w:t>资金支付</w:t>
      </w:r>
      <w:bookmarkEnd w:id="23"/>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4" w:name="_Hlk41902803"/>
      <w:r>
        <w:rPr>
          <w:rFonts w:hint="eastAsia"/>
          <w:spacing w:val="10"/>
          <w:sz w:val="20"/>
          <w:szCs w:val="20"/>
        </w:rPr>
        <w:t>进行</w:t>
      </w:r>
      <w:r>
        <w:rPr>
          <w:spacing w:val="10"/>
          <w:sz w:val="20"/>
          <w:szCs w:val="20"/>
        </w:rPr>
        <w:t>赎回资金</w:t>
      </w:r>
      <w:bookmarkEnd w:id="24"/>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rsidR="007762FD" w:rsidRDefault="0017797E">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rsidR="007762FD" w:rsidRDefault="0017797E">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rsidR="007762FD" w:rsidRDefault="0017797E">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rsidR="007762FD" w:rsidRDefault="0017797E">
      <w:pPr>
        <w:ind w:firstLineChars="200" w:firstLine="440"/>
        <w:rPr>
          <w:bCs/>
          <w:spacing w:val="10"/>
          <w:sz w:val="20"/>
          <w:szCs w:val="20"/>
        </w:rPr>
      </w:pPr>
      <w:r>
        <w:rPr>
          <w:bCs/>
          <w:spacing w:val="10"/>
          <w:sz w:val="20"/>
          <w:szCs w:val="20"/>
        </w:rPr>
        <w:t>在理财产品存续期内，如发生以下事项时，南银理财可对本理财产品行使全部提前终止权：</w:t>
      </w:r>
    </w:p>
    <w:p w:rsidR="007762FD" w:rsidRDefault="0017797E">
      <w:pPr>
        <w:pStyle w:val="10"/>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rsidR="007762FD" w:rsidRDefault="0017797E">
      <w:pPr>
        <w:pStyle w:val="10"/>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rsidR="007762FD" w:rsidRDefault="0017797E">
      <w:pPr>
        <w:pStyle w:val="10"/>
        <w:numPr>
          <w:ilvl w:val="0"/>
          <w:numId w:val="11"/>
        </w:numPr>
        <w:ind w:left="780"/>
        <w:rPr>
          <w:bCs/>
          <w:spacing w:val="10"/>
          <w:sz w:val="20"/>
          <w:szCs w:val="20"/>
        </w:rPr>
      </w:pPr>
      <w:r>
        <w:rPr>
          <w:bCs/>
          <w:spacing w:val="10"/>
          <w:sz w:val="20"/>
          <w:szCs w:val="20"/>
        </w:rPr>
        <w:t>因不可抗力因素导致本理财产品必须提前终止的；</w:t>
      </w:r>
    </w:p>
    <w:p w:rsidR="007762FD" w:rsidRDefault="0017797E">
      <w:pPr>
        <w:pStyle w:val="10"/>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rsidR="007762FD" w:rsidRDefault="0017797E">
      <w:pPr>
        <w:pStyle w:val="10"/>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rsidR="007762FD" w:rsidRDefault="0017797E">
      <w:pPr>
        <w:pStyle w:val="10"/>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rsidR="007762FD" w:rsidRDefault="0017797E">
      <w:pPr>
        <w:pStyle w:val="10"/>
        <w:numPr>
          <w:ilvl w:val="0"/>
          <w:numId w:val="11"/>
        </w:numPr>
        <w:ind w:left="780"/>
        <w:rPr>
          <w:bCs/>
          <w:spacing w:val="10"/>
          <w:sz w:val="20"/>
          <w:szCs w:val="20"/>
        </w:rPr>
      </w:pPr>
      <w:r>
        <w:rPr>
          <w:bCs/>
          <w:spacing w:val="10"/>
          <w:sz w:val="20"/>
          <w:szCs w:val="20"/>
        </w:rPr>
        <w:t>理财产品所投资资产部分或全部提前偿付；</w:t>
      </w:r>
    </w:p>
    <w:p w:rsidR="007762FD" w:rsidRDefault="0017797E">
      <w:pPr>
        <w:pStyle w:val="10"/>
        <w:numPr>
          <w:ilvl w:val="0"/>
          <w:numId w:val="11"/>
        </w:numPr>
        <w:ind w:left="780"/>
        <w:rPr>
          <w:bCs/>
          <w:spacing w:val="10"/>
          <w:sz w:val="20"/>
          <w:szCs w:val="20"/>
        </w:rPr>
      </w:pPr>
      <w:r>
        <w:rPr>
          <w:bCs/>
          <w:spacing w:val="10"/>
          <w:sz w:val="20"/>
          <w:szCs w:val="20"/>
        </w:rPr>
        <w:t>提前终止产品比维持产品运作更有利于保护产品持有人的权益；</w:t>
      </w:r>
    </w:p>
    <w:p w:rsidR="007762FD" w:rsidRDefault="0017797E">
      <w:pPr>
        <w:pStyle w:val="10"/>
        <w:numPr>
          <w:ilvl w:val="0"/>
          <w:numId w:val="11"/>
        </w:numPr>
        <w:ind w:left="780"/>
        <w:rPr>
          <w:bCs/>
          <w:spacing w:val="10"/>
          <w:sz w:val="20"/>
          <w:szCs w:val="20"/>
        </w:rPr>
      </w:pPr>
      <w:r>
        <w:rPr>
          <w:bCs/>
          <w:spacing w:val="10"/>
          <w:sz w:val="20"/>
          <w:szCs w:val="20"/>
        </w:rPr>
        <w:t>南银理财合理认为应该提前终止本理财产品的其他情况。</w:t>
      </w:r>
    </w:p>
    <w:p w:rsidR="007762FD" w:rsidRDefault="0017797E">
      <w:pPr>
        <w:pStyle w:val="10"/>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rsidR="007762FD" w:rsidRDefault="0017797E">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rsidR="007762FD" w:rsidRDefault="0017797E">
      <w:pPr>
        <w:ind w:left="340"/>
        <w:rPr>
          <w:bCs/>
          <w:spacing w:val="10"/>
          <w:sz w:val="20"/>
          <w:szCs w:val="20"/>
        </w:rPr>
      </w:pPr>
      <w:r>
        <w:rPr>
          <w:bCs/>
          <w:spacing w:val="10"/>
          <w:sz w:val="20"/>
          <w:szCs w:val="20"/>
        </w:rPr>
        <w:t>在理财产品存续期内，如发生以下事项时，南银理财有权推迟本理财产品</w:t>
      </w:r>
      <w:r>
        <w:rPr>
          <w:rFonts w:hint="eastAsia"/>
          <w:bCs/>
          <w:spacing w:val="10"/>
          <w:sz w:val="20"/>
          <w:szCs w:val="20"/>
        </w:rPr>
        <w:t>终止</w:t>
      </w:r>
      <w:r>
        <w:rPr>
          <w:bCs/>
          <w:spacing w:val="10"/>
          <w:sz w:val="20"/>
          <w:szCs w:val="20"/>
        </w:rPr>
        <w:t>日：</w:t>
      </w:r>
    </w:p>
    <w:p w:rsidR="007762FD" w:rsidRDefault="0017797E">
      <w:pPr>
        <w:pStyle w:val="10"/>
        <w:numPr>
          <w:ilvl w:val="0"/>
          <w:numId w:val="12"/>
        </w:numPr>
        <w:ind w:left="780"/>
        <w:rPr>
          <w:bCs/>
          <w:spacing w:val="10"/>
          <w:sz w:val="20"/>
          <w:szCs w:val="20"/>
        </w:rPr>
      </w:pPr>
      <w:r>
        <w:rPr>
          <w:bCs/>
          <w:spacing w:val="10"/>
          <w:sz w:val="20"/>
          <w:szCs w:val="20"/>
        </w:rPr>
        <w:t>产品到期日遇非工作日，产品到期日顺延至下一工作日；</w:t>
      </w:r>
    </w:p>
    <w:p w:rsidR="007762FD" w:rsidRDefault="0017797E">
      <w:pPr>
        <w:pStyle w:val="10"/>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rsidR="007762FD" w:rsidRDefault="0017797E">
      <w:pPr>
        <w:pStyle w:val="10"/>
        <w:numPr>
          <w:ilvl w:val="0"/>
          <w:numId w:val="12"/>
        </w:numPr>
        <w:ind w:left="780"/>
        <w:rPr>
          <w:bCs/>
          <w:spacing w:val="10"/>
          <w:sz w:val="20"/>
          <w:szCs w:val="20"/>
        </w:rPr>
      </w:pPr>
      <w:r>
        <w:rPr>
          <w:bCs/>
          <w:spacing w:val="10"/>
          <w:sz w:val="20"/>
          <w:szCs w:val="20"/>
        </w:rPr>
        <w:t>因资金在途等原因，导致未能及时收回资金；</w:t>
      </w:r>
    </w:p>
    <w:p w:rsidR="007762FD" w:rsidRDefault="0017797E">
      <w:pPr>
        <w:pStyle w:val="10"/>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rsidR="007762FD" w:rsidRDefault="0017797E">
      <w:pPr>
        <w:pStyle w:val="10"/>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rsidR="007762FD" w:rsidRDefault="0017797E">
      <w:pPr>
        <w:pStyle w:val="10"/>
        <w:numPr>
          <w:ilvl w:val="0"/>
          <w:numId w:val="12"/>
        </w:numPr>
        <w:ind w:left="780"/>
        <w:rPr>
          <w:bCs/>
          <w:spacing w:val="10"/>
          <w:sz w:val="20"/>
          <w:szCs w:val="20"/>
        </w:rPr>
      </w:pPr>
      <w:r>
        <w:rPr>
          <w:bCs/>
          <w:spacing w:val="10"/>
          <w:sz w:val="20"/>
          <w:szCs w:val="20"/>
        </w:rPr>
        <w:t>其他管理人认为需要延期的情形；</w:t>
      </w:r>
    </w:p>
    <w:p w:rsidR="007762FD" w:rsidRDefault="0017797E">
      <w:pPr>
        <w:pStyle w:val="10"/>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rsidR="007762FD" w:rsidRDefault="0017797E">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rsidR="007762FD" w:rsidRDefault="0017797E">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7762FD" w:rsidRDefault="0017797E">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rsidR="007762FD" w:rsidRDefault="0017797E">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rsidR="007762FD" w:rsidRDefault="0017797E">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rsidR="007762FD" w:rsidRDefault="0017797E">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rsidR="007762FD" w:rsidRDefault="0017797E">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rsidR="007762FD" w:rsidRDefault="0017797E">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rsidR="007762FD" w:rsidRDefault="0017797E">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762FD" w:rsidRDefault="0017797E">
      <w:pPr>
        <w:numPr>
          <w:ilvl w:val="0"/>
          <w:numId w:val="13"/>
        </w:numPr>
        <w:ind w:firstLineChars="200" w:firstLine="440"/>
        <w:rPr>
          <w:bCs/>
          <w:spacing w:val="10"/>
          <w:sz w:val="20"/>
          <w:szCs w:val="20"/>
        </w:rPr>
      </w:pPr>
      <w:r>
        <w:rPr>
          <w:bCs/>
          <w:spacing w:val="10"/>
          <w:sz w:val="20"/>
          <w:szCs w:val="20"/>
        </w:rPr>
        <w:t>免责条款</w:t>
      </w:r>
    </w:p>
    <w:p w:rsidR="007762FD" w:rsidRDefault="0017797E">
      <w:pPr>
        <w:pStyle w:val="10"/>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7762FD" w:rsidRDefault="0017797E">
      <w:pPr>
        <w:pStyle w:val="10"/>
        <w:numPr>
          <w:ilvl w:val="0"/>
          <w:numId w:val="14"/>
        </w:numPr>
        <w:ind w:left="780"/>
        <w:rPr>
          <w:spacing w:val="10"/>
          <w:sz w:val="20"/>
          <w:szCs w:val="20"/>
        </w:rPr>
      </w:pPr>
      <w:r>
        <w:rPr>
          <w:bCs/>
          <w:spacing w:val="10"/>
          <w:sz w:val="20"/>
          <w:szCs w:val="20"/>
        </w:rPr>
        <w:t>不可抗力。如果甲方认为由于自然灾害、</w:t>
      </w:r>
      <w:bookmarkStart w:id="25" w:name="_Hlk41903042"/>
      <w:r>
        <w:rPr>
          <w:bCs/>
          <w:spacing w:val="10"/>
          <w:sz w:val="20"/>
          <w:szCs w:val="20"/>
        </w:rPr>
        <w:t>地震、台风、海啸、洪水、火灾、停电、突发性公共卫生事件、</w:t>
      </w:r>
      <w:bookmarkStart w:id="26" w:name="_Hlk41862861"/>
      <w:bookmarkEnd w:id="25"/>
      <w:r>
        <w:rPr>
          <w:bCs/>
          <w:spacing w:val="10"/>
          <w:sz w:val="20"/>
          <w:szCs w:val="20"/>
        </w:rPr>
        <w:t>罢工、内战、战争、军事行动、任何种类的恐怖活动、暴动、公众示威或抗议</w:t>
      </w:r>
      <w:bookmarkStart w:id="27" w:name="_Hlk41903076"/>
      <w:bookmarkEnd w:id="26"/>
      <w:r>
        <w:rPr>
          <w:bCs/>
          <w:spacing w:val="10"/>
          <w:sz w:val="20"/>
          <w:szCs w:val="20"/>
        </w:rPr>
        <w:t>；新的适用法律或国家政策的颁布或实施、对原适用法律或国家政策的修改；</w:t>
      </w:r>
      <w:bookmarkStart w:id="28" w:name="_Hlk41862959"/>
      <w:bookmarkEnd w:id="27"/>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28"/>
      <w:r>
        <w:rPr>
          <w:bCs/>
          <w:spacing w:val="10"/>
          <w:sz w:val="20"/>
          <w:szCs w:val="20"/>
        </w:rPr>
        <w:t>；</w:t>
      </w:r>
      <w:bookmarkStart w:id="29"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29"/>
      <w:r>
        <w:rPr>
          <w:bCs/>
          <w:spacing w:val="10"/>
          <w:sz w:val="20"/>
          <w:szCs w:val="20"/>
        </w:rPr>
        <w:t>或任何其他非甲方所能控制的情况或原因，导致甲方未能履行或需延迟履行协议项下或与理财产品相关的支付义务，甲方无需对乙方承担任何责任。尤其是，当资金存放在任何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rsidR="007762FD" w:rsidRDefault="0017797E">
      <w:pPr>
        <w:pStyle w:val="10"/>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rsidR="007762FD" w:rsidRDefault="0017797E">
      <w:pPr>
        <w:pStyle w:val="10"/>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rsidR="007762FD" w:rsidRDefault="0017797E">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rsidR="007762FD" w:rsidRDefault="0017797E">
      <w:pPr>
        <w:ind w:firstLineChars="200" w:firstLine="440"/>
        <w:rPr>
          <w:spacing w:val="10"/>
          <w:sz w:val="20"/>
          <w:szCs w:val="20"/>
        </w:rPr>
      </w:pPr>
      <w:bookmarkStart w:id="30"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0"/>
    </w:p>
    <w:p w:rsidR="007762FD" w:rsidRDefault="0017797E">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rsidR="007762FD" w:rsidRDefault="0017797E">
      <w:pPr>
        <w:numPr>
          <w:ilvl w:val="0"/>
          <w:numId w:val="13"/>
        </w:numPr>
        <w:ind w:firstLineChars="200" w:firstLine="440"/>
        <w:rPr>
          <w:spacing w:val="10"/>
          <w:sz w:val="20"/>
          <w:szCs w:val="20"/>
        </w:rPr>
      </w:pPr>
      <w:r>
        <w:rPr>
          <w:bCs/>
          <w:spacing w:val="10"/>
          <w:sz w:val="20"/>
          <w:szCs w:val="20"/>
        </w:rPr>
        <w:t>抵销</w:t>
      </w:r>
    </w:p>
    <w:p w:rsidR="007762FD" w:rsidRDefault="0017797E">
      <w:pPr>
        <w:pStyle w:val="10"/>
        <w:numPr>
          <w:ilvl w:val="0"/>
          <w:numId w:val="15"/>
        </w:numPr>
        <w:ind w:left="780"/>
        <w:rPr>
          <w:bCs/>
          <w:spacing w:val="10"/>
          <w:sz w:val="20"/>
          <w:szCs w:val="20"/>
        </w:rPr>
      </w:pPr>
      <w:r>
        <w:rPr>
          <w:b/>
          <w:spacing w:val="10"/>
          <w:sz w:val="20"/>
          <w:szCs w:val="20"/>
        </w:rPr>
        <w:t>除享有法律规定的或其他的抵销权利外，甲方有权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rsidR="007762FD" w:rsidRDefault="0017797E">
      <w:pPr>
        <w:pStyle w:val="10"/>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rsidR="007762FD" w:rsidRDefault="0017797E">
      <w:pPr>
        <w:numPr>
          <w:ilvl w:val="0"/>
          <w:numId w:val="13"/>
        </w:numPr>
        <w:ind w:firstLineChars="200" w:firstLine="440"/>
        <w:rPr>
          <w:spacing w:val="10"/>
          <w:sz w:val="20"/>
          <w:szCs w:val="20"/>
        </w:rPr>
      </w:pPr>
      <w:r>
        <w:rPr>
          <w:bCs/>
          <w:spacing w:val="10"/>
          <w:sz w:val="20"/>
          <w:szCs w:val="20"/>
        </w:rPr>
        <w:t>弃权</w:t>
      </w:r>
    </w:p>
    <w:p w:rsidR="007762FD" w:rsidRDefault="0017797E">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7762FD" w:rsidRDefault="0017797E">
      <w:pPr>
        <w:numPr>
          <w:ilvl w:val="0"/>
          <w:numId w:val="13"/>
        </w:numPr>
        <w:ind w:firstLineChars="200" w:firstLine="440"/>
        <w:rPr>
          <w:spacing w:val="10"/>
          <w:sz w:val="20"/>
          <w:szCs w:val="20"/>
        </w:rPr>
      </w:pPr>
      <w:r>
        <w:rPr>
          <w:spacing w:val="10"/>
          <w:sz w:val="20"/>
          <w:szCs w:val="20"/>
        </w:rPr>
        <w:t>可分割性</w:t>
      </w:r>
    </w:p>
    <w:p w:rsidR="007762FD" w:rsidRDefault="0017797E">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rsidR="007762FD" w:rsidRDefault="0017797E">
      <w:pPr>
        <w:numPr>
          <w:ilvl w:val="0"/>
          <w:numId w:val="13"/>
        </w:numPr>
        <w:ind w:firstLineChars="200" w:firstLine="440"/>
        <w:rPr>
          <w:spacing w:val="10"/>
          <w:sz w:val="20"/>
          <w:szCs w:val="20"/>
        </w:rPr>
      </w:pPr>
      <w:r>
        <w:rPr>
          <w:spacing w:val="10"/>
          <w:sz w:val="20"/>
          <w:szCs w:val="20"/>
        </w:rPr>
        <w:t>税收条款</w:t>
      </w:r>
    </w:p>
    <w:p w:rsidR="007762FD" w:rsidRDefault="0017797E">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rsidR="007762FD" w:rsidRDefault="0017797E">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rsidR="007762FD" w:rsidRDefault="0017797E">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本协议在履行过程中发生争议，可以通过协商解决；协商不成的，任何一方有权向甲方所在地有管辖权的人民法院提起诉讼。</w:t>
      </w:r>
    </w:p>
    <w:p w:rsidR="007762FD" w:rsidRDefault="0017797E">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rsidR="007762FD" w:rsidRDefault="0017797E">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rsidR="007762FD" w:rsidRDefault="0017797E">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rsidR="007762FD" w:rsidRDefault="0017797E">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rsidR="007762FD" w:rsidRDefault="0017797E">
      <w:pPr>
        <w:numPr>
          <w:ilvl w:val="0"/>
          <w:numId w:val="16"/>
        </w:numPr>
        <w:ind w:firstLineChars="200" w:firstLine="440"/>
        <w:rPr>
          <w:spacing w:val="10"/>
          <w:sz w:val="20"/>
          <w:szCs w:val="20"/>
        </w:rPr>
      </w:pPr>
      <w:r>
        <w:rPr>
          <w:spacing w:val="10"/>
          <w:sz w:val="20"/>
          <w:szCs w:val="20"/>
        </w:rPr>
        <w:t>如乙方购买理财产品后，又变更该笔认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rsidR="007762FD" w:rsidRDefault="0017797E">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rsidR="007762FD" w:rsidRDefault="0017797E">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7762FD" w:rsidRDefault="0017797E">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rsidR="007762FD" w:rsidRDefault="0017797E">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rsidR="007762FD" w:rsidRDefault="007762FD">
      <w:pPr>
        <w:ind w:firstLineChars="200" w:firstLine="440"/>
        <w:rPr>
          <w:spacing w:val="10"/>
          <w:sz w:val="20"/>
          <w:szCs w:val="20"/>
        </w:rPr>
      </w:pPr>
    </w:p>
    <w:p w:rsidR="007762FD" w:rsidRDefault="007762FD">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7762FD">
        <w:tc>
          <w:tcPr>
            <w:tcW w:w="5341" w:type="dxa"/>
          </w:tcPr>
          <w:p w:rsidR="007762FD" w:rsidRDefault="0017797E">
            <w:pPr>
              <w:rPr>
                <w:spacing w:val="10"/>
                <w:sz w:val="20"/>
                <w:szCs w:val="20"/>
              </w:rPr>
            </w:pPr>
            <w:r>
              <w:rPr>
                <w:spacing w:val="10"/>
                <w:sz w:val="20"/>
                <w:szCs w:val="20"/>
              </w:rPr>
              <w:t>个人投资者（如适用）：</w:t>
            </w:r>
          </w:p>
        </w:tc>
        <w:tc>
          <w:tcPr>
            <w:tcW w:w="5341" w:type="dxa"/>
          </w:tcPr>
          <w:p w:rsidR="007762FD" w:rsidRDefault="0017797E">
            <w:pPr>
              <w:rPr>
                <w:spacing w:val="10"/>
                <w:sz w:val="20"/>
                <w:szCs w:val="20"/>
              </w:rPr>
            </w:pPr>
            <w:r>
              <w:rPr>
                <w:spacing w:val="10"/>
                <w:sz w:val="20"/>
                <w:szCs w:val="20"/>
              </w:rPr>
              <w:t>机构投资者（如适用）：</w:t>
            </w:r>
          </w:p>
        </w:tc>
      </w:tr>
      <w:tr w:rsidR="007762FD">
        <w:tc>
          <w:tcPr>
            <w:tcW w:w="5341" w:type="dxa"/>
          </w:tcPr>
          <w:p w:rsidR="007762FD" w:rsidRDefault="007762FD">
            <w:pPr>
              <w:ind w:firstLineChars="200" w:firstLine="440"/>
              <w:rPr>
                <w:spacing w:val="10"/>
                <w:sz w:val="20"/>
                <w:szCs w:val="20"/>
              </w:rPr>
            </w:pPr>
          </w:p>
          <w:p w:rsidR="007762FD" w:rsidRDefault="0017797E">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rsidR="007762FD" w:rsidRDefault="007762FD">
            <w:pPr>
              <w:ind w:firstLineChars="400" w:firstLine="880"/>
              <w:rPr>
                <w:spacing w:val="10"/>
                <w:sz w:val="20"/>
                <w:szCs w:val="20"/>
              </w:rPr>
            </w:pPr>
          </w:p>
          <w:p w:rsidR="007762FD" w:rsidRDefault="007762FD">
            <w:pPr>
              <w:ind w:firstLineChars="500" w:firstLine="1100"/>
              <w:rPr>
                <w:spacing w:val="10"/>
                <w:sz w:val="20"/>
                <w:szCs w:val="20"/>
              </w:rPr>
            </w:pPr>
          </w:p>
          <w:p w:rsidR="007762FD" w:rsidRDefault="0017797E">
            <w:pPr>
              <w:ind w:firstLineChars="500" w:firstLine="1100"/>
              <w:rPr>
                <w:spacing w:val="10"/>
                <w:sz w:val="20"/>
                <w:szCs w:val="20"/>
              </w:rPr>
            </w:pPr>
            <w:r>
              <w:rPr>
                <w:spacing w:val="10"/>
                <w:sz w:val="20"/>
                <w:szCs w:val="20"/>
              </w:rPr>
              <w:t>年月日</w:t>
            </w:r>
          </w:p>
        </w:tc>
        <w:tc>
          <w:tcPr>
            <w:tcW w:w="5341" w:type="dxa"/>
          </w:tcPr>
          <w:p w:rsidR="007762FD" w:rsidRDefault="007762FD">
            <w:pPr>
              <w:ind w:firstLineChars="200" w:firstLine="440"/>
              <w:rPr>
                <w:spacing w:val="10"/>
                <w:sz w:val="20"/>
                <w:szCs w:val="20"/>
              </w:rPr>
            </w:pPr>
          </w:p>
          <w:p w:rsidR="007762FD" w:rsidRDefault="0017797E">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rsidR="007762FD" w:rsidRDefault="007762FD">
            <w:pPr>
              <w:rPr>
                <w:spacing w:val="10"/>
                <w:sz w:val="20"/>
                <w:szCs w:val="20"/>
              </w:rPr>
            </w:pPr>
          </w:p>
          <w:p w:rsidR="007762FD" w:rsidRDefault="007762FD">
            <w:pPr>
              <w:rPr>
                <w:spacing w:val="10"/>
                <w:sz w:val="20"/>
                <w:szCs w:val="20"/>
              </w:rPr>
            </w:pPr>
          </w:p>
          <w:p w:rsidR="007762FD" w:rsidRDefault="0017797E">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rsidR="007762FD" w:rsidRDefault="007762FD">
            <w:pPr>
              <w:ind w:firstLineChars="400" w:firstLine="880"/>
              <w:rPr>
                <w:spacing w:val="10"/>
                <w:sz w:val="20"/>
                <w:szCs w:val="20"/>
              </w:rPr>
            </w:pPr>
          </w:p>
          <w:p w:rsidR="007762FD" w:rsidRDefault="0017797E">
            <w:pPr>
              <w:ind w:firstLineChars="400" w:firstLine="880"/>
              <w:rPr>
                <w:spacing w:val="10"/>
                <w:sz w:val="20"/>
                <w:szCs w:val="20"/>
              </w:rPr>
            </w:pPr>
            <w:r>
              <w:rPr>
                <w:spacing w:val="10"/>
                <w:sz w:val="20"/>
                <w:szCs w:val="20"/>
              </w:rPr>
              <w:t>年月日</w:t>
            </w:r>
          </w:p>
        </w:tc>
      </w:tr>
      <w:bookmarkEnd w:id="31"/>
    </w:tbl>
    <w:p w:rsidR="007762FD" w:rsidRDefault="007762FD">
      <w:pPr>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17797E">
      <w:pPr>
        <w:jc w:val="center"/>
        <w:rPr>
          <w:rFonts w:ascii="黑体" w:eastAsia="黑体" w:hAnsi="宋体"/>
          <w:b/>
          <w:bCs/>
          <w:sz w:val="24"/>
          <w:szCs w:val="24"/>
        </w:rPr>
      </w:pPr>
      <w:r>
        <w:rPr>
          <w:rFonts w:ascii="黑体" w:eastAsia="黑体" w:hAnsi="宋体" w:hint="eastAsia"/>
          <w:b/>
          <w:bCs/>
          <w:sz w:val="24"/>
          <w:szCs w:val="24"/>
        </w:rPr>
        <w:t>投资者权益须知</w:t>
      </w:r>
    </w:p>
    <w:p w:rsidR="007762FD" w:rsidRDefault="007762FD">
      <w:pPr>
        <w:ind w:firstLineChars="200" w:firstLine="482"/>
        <w:jc w:val="center"/>
        <w:rPr>
          <w:rFonts w:ascii="宋体" w:hAnsi="宋体"/>
          <w:b/>
          <w:i/>
          <w:sz w:val="24"/>
          <w:szCs w:val="24"/>
          <w:u w:val="single"/>
        </w:rPr>
      </w:pPr>
    </w:p>
    <w:p w:rsidR="007762FD" w:rsidRDefault="0017797E">
      <w:pPr>
        <w:ind w:firstLineChars="200" w:firstLine="482"/>
        <w:jc w:val="center"/>
        <w:rPr>
          <w:rFonts w:ascii="宋体" w:hAnsi="宋体"/>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rsidR="007762FD" w:rsidRDefault="0017797E">
      <w:pPr>
        <w:pStyle w:val="a6"/>
        <w:spacing w:before="0" w:after="0" w:line="240" w:lineRule="auto"/>
        <w:ind w:firstLine="0"/>
        <w:rPr>
          <w:spacing w:val="10"/>
          <w:kern w:val="2"/>
        </w:rPr>
      </w:pPr>
      <w:r>
        <w:rPr>
          <w:rFonts w:hint="eastAsia"/>
          <w:spacing w:val="10"/>
          <w:kern w:val="2"/>
        </w:rPr>
        <w:t>尊敬的投资者：</w:t>
      </w:r>
    </w:p>
    <w:p w:rsidR="007762FD" w:rsidRDefault="0017797E">
      <w:pPr>
        <w:pStyle w:val="a6"/>
        <w:spacing w:before="0" w:after="0" w:line="240" w:lineRule="auto"/>
        <w:ind w:firstLineChars="200" w:firstLine="520"/>
        <w:jc w:val="both"/>
        <w:rPr>
          <w:spacing w:val="10"/>
          <w:kern w:val="2"/>
        </w:rPr>
      </w:pPr>
      <w:r>
        <w:rPr>
          <w:rFonts w:hint="eastAsia"/>
          <w:spacing w:val="10"/>
          <w:kern w:val="2"/>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7762FD" w:rsidRDefault="0017797E">
      <w:pPr>
        <w:pStyle w:val="a6"/>
        <w:spacing w:before="0" w:after="0" w:line="240" w:lineRule="auto"/>
        <w:ind w:firstLineChars="200" w:firstLine="520"/>
        <w:jc w:val="both"/>
        <w:rPr>
          <w:spacing w:val="10"/>
          <w:kern w:val="2"/>
        </w:rPr>
      </w:pPr>
      <w:r>
        <w:rPr>
          <w:rFonts w:hint="eastAsia"/>
          <w:spacing w:val="10"/>
          <w:kern w:val="2"/>
        </w:rPr>
        <w:t>本理财产品指由南银理财作为管理人发行，并由</w:t>
      </w:r>
      <w:permStart w:id="1607484949" w:edGrp="everyone"/>
      <w:r>
        <w:rPr>
          <w:rFonts w:hint="eastAsia"/>
          <w:spacing w:val="10"/>
          <w:kern w:val="2"/>
        </w:rPr>
        <w:t xml:space="preserve"> </w:t>
      </w:r>
      <w:r>
        <w:rPr>
          <w:rFonts w:hint="eastAsia"/>
          <w:spacing w:val="10"/>
        </w:rPr>
        <w:t>石嘴山银行股份有限公司</w:t>
      </w:r>
      <w:r>
        <w:rPr>
          <w:rFonts w:hint="eastAsia"/>
          <w:spacing w:val="10"/>
          <w:kern w:val="2"/>
        </w:rPr>
        <w:t xml:space="preserve"> </w:t>
      </w:r>
      <w:permEnd w:id="1607484949"/>
      <w:r>
        <w:rPr>
          <w:rFonts w:hint="eastAsia"/>
          <w:spacing w:val="10"/>
          <w:kern w:val="2"/>
        </w:rPr>
        <w:t>（以下简称“销售机构”）销售的理财产品。</w:t>
      </w:r>
    </w:p>
    <w:p w:rsidR="007762FD" w:rsidRDefault="0017797E">
      <w:pPr>
        <w:pStyle w:val="a6"/>
        <w:spacing w:line="240" w:lineRule="auto"/>
        <w:ind w:left="341" w:firstLine="0"/>
        <w:jc w:val="both"/>
        <w:rPr>
          <w:b/>
          <w:spacing w:val="10"/>
          <w:kern w:val="2"/>
        </w:rPr>
      </w:pPr>
      <w:r>
        <w:rPr>
          <w:rFonts w:hint="eastAsia"/>
          <w:b/>
          <w:spacing w:val="10"/>
          <w:kern w:val="2"/>
        </w:rPr>
        <w:t>第一条</w:t>
      </w:r>
      <w:r>
        <w:rPr>
          <w:rFonts w:hint="eastAsia"/>
          <w:b/>
          <w:spacing w:val="10"/>
          <w:kern w:val="2"/>
        </w:rPr>
        <w:t xml:space="preserve"> </w:t>
      </w:r>
      <w:r>
        <w:rPr>
          <w:rFonts w:hint="eastAsia"/>
          <w:b/>
          <w:spacing w:val="10"/>
          <w:kern w:val="2"/>
        </w:rPr>
        <w:t>理财产品购买流程说明</w:t>
      </w:r>
    </w:p>
    <w:p w:rsidR="007762FD" w:rsidRDefault="0017797E">
      <w:pPr>
        <w:pStyle w:val="a6"/>
        <w:spacing w:before="0" w:after="0" w:line="240" w:lineRule="auto"/>
        <w:ind w:firstLineChars="200" w:firstLine="520"/>
        <w:jc w:val="both"/>
        <w:rPr>
          <w:bCs/>
          <w:spacing w:val="10"/>
          <w:kern w:val="2"/>
        </w:rPr>
      </w:pPr>
      <w:r>
        <w:rPr>
          <w:rFonts w:hint="eastAsia"/>
          <w:bCs/>
          <w:spacing w:val="10"/>
          <w:kern w:val="2"/>
        </w:rPr>
        <w:t>（一）首次在销售机构购买理财产品的投资者应按销售机构的要求明确授权指定账户，用于本理财产品的理财资金划转及理财收益、到期清算分配资金的分配，提供并确认正确的联系方式。</w:t>
      </w:r>
    </w:p>
    <w:p w:rsidR="007762FD" w:rsidRDefault="0017797E">
      <w:pPr>
        <w:pStyle w:val="a6"/>
        <w:spacing w:before="0" w:after="0" w:line="240" w:lineRule="auto"/>
        <w:ind w:firstLineChars="199" w:firstLine="517"/>
        <w:jc w:val="both"/>
        <w:rPr>
          <w:bCs/>
          <w:spacing w:val="10"/>
          <w:kern w:val="2"/>
        </w:rPr>
      </w:pPr>
      <w:r>
        <w:rPr>
          <w:rFonts w:hint="eastAsia"/>
          <w:bCs/>
          <w:spacing w:val="10"/>
          <w:kern w:val="2"/>
        </w:rPr>
        <w:t>（二）在销售机构购买理财产品的个人投资者应按销售机构的要求进行投资者风险承受能力评估，并确认风险承受能力等级不低于本理财产品风险等级。</w:t>
      </w:r>
    </w:p>
    <w:p w:rsidR="007762FD" w:rsidRDefault="0017797E">
      <w:pPr>
        <w:pStyle w:val="a6"/>
        <w:spacing w:before="0" w:after="0" w:line="240" w:lineRule="auto"/>
        <w:ind w:firstLineChars="199" w:firstLine="517"/>
        <w:jc w:val="both"/>
        <w:rPr>
          <w:bCs/>
          <w:spacing w:val="10"/>
          <w:kern w:val="2"/>
        </w:rPr>
      </w:pPr>
      <w:r>
        <w:rPr>
          <w:rFonts w:hint="eastAsia"/>
          <w:bCs/>
          <w:spacing w:val="10"/>
          <w:kern w:val="2"/>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kern w:val="2"/>
        </w:rPr>
        <w:t>理财产品投资协议书》</w:t>
      </w:r>
      <w:r>
        <w:rPr>
          <w:rFonts w:hint="eastAsia"/>
          <w:bCs/>
          <w:spacing w:val="10"/>
          <w:kern w:val="2"/>
        </w:rPr>
        <w:t>等，理解并确认理财产品条款及产品风险。</w:t>
      </w:r>
    </w:p>
    <w:p w:rsidR="007762FD" w:rsidRDefault="0017797E">
      <w:pPr>
        <w:pStyle w:val="a6"/>
        <w:spacing w:before="0" w:after="0" w:line="240" w:lineRule="auto"/>
        <w:ind w:firstLine="480"/>
        <w:jc w:val="both"/>
        <w:rPr>
          <w:bCs/>
          <w:spacing w:val="10"/>
          <w:kern w:val="2"/>
        </w:rPr>
      </w:pPr>
      <w:r>
        <w:rPr>
          <w:rFonts w:hint="eastAsia"/>
          <w:bCs/>
          <w:spacing w:val="10"/>
          <w:kern w:val="2"/>
        </w:rPr>
        <w:t>投资者在销售机构提供的渠道自主决定是否购买理财产品，确定购买金额，完成交易申请，并在确认份额后进行查询。</w:t>
      </w:r>
    </w:p>
    <w:p w:rsidR="007762FD" w:rsidRDefault="0017797E">
      <w:pPr>
        <w:pStyle w:val="a6"/>
        <w:spacing w:before="0" w:after="0" w:line="240" w:lineRule="auto"/>
        <w:ind w:firstLine="480"/>
        <w:jc w:val="both"/>
        <w:rPr>
          <w:bCs/>
          <w:spacing w:val="10"/>
          <w:kern w:val="2"/>
        </w:rPr>
      </w:pPr>
      <w:permStart w:id="998931412" w:edGrp="everyone"/>
      <w:r>
        <w:rPr>
          <w:rFonts w:hint="eastAsia"/>
          <w:bCs/>
          <w:spacing w:val="10"/>
          <w:kern w:val="2"/>
        </w:rPr>
        <w:t>通过代销机构购买理财产品的具体流程说明：</w:t>
      </w:r>
    </w:p>
    <w:p w:rsidR="007762FD" w:rsidRDefault="0017797E">
      <w:pPr>
        <w:pStyle w:val="a6"/>
        <w:spacing w:before="0" w:after="0" w:line="240" w:lineRule="auto"/>
        <w:ind w:firstLineChars="200" w:firstLine="520"/>
        <w:jc w:val="both"/>
        <w:rPr>
          <w:bCs/>
          <w:spacing w:val="10"/>
          <w:kern w:val="2"/>
        </w:rPr>
      </w:pPr>
      <w:r>
        <w:rPr>
          <w:bCs/>
          <w:spacing w:val="10"/>
          <w:kern w:val="2"/>
        </w:rPr>
        <w:t>1</w:t>
      </w:r>
      <w:r>
        <w:rPr>
          <w:rFonts w:hint="eastAsia"/>
          <w:bCs/>
          <w:spacing w:val="10"/>
          <w:kern w:val="2"/>
        </w:rPr>
        <w:t>、理财签约</w:t>
      </w:r>
    </w:p>
    <w:p w:rsidR="007762FD" w:rsidRDefault="0017797E">
      <w:pPr>
        <w:pStyle w:val="a6"/>
        <w:spacing w:before="0" w:after="0" w:line="240" w:lineRule="auto"/>
        <w:ind w:firstLineChars="200" w:firstLine="520"/>
        <w:jc w:val="both"/>
        <w:rPr>
          <w:bCs/>
          <w:spacing w:val="10"/>
          <w:kern w:val="2"/>
        </w:rPr>
      </w:pPr>
      <w:r>
        <w:rPr>
          <w:rFonts w:hint="eastAsia"/>
          <w:bCs/>
          <w:spacing w:val="10"/>
          <w:kern w:val="2"/>
        </w:rPr>
        <w:t>首次购买理财的投资者须进行风险承受能力评估（详见第二条）和理财签约。</w:t>
      </w:r>
    </w:p>
    <w:p w:rsidR="007762FD" w:rsidRDefault="0017797E">
      <w:pPr>
        <w:pStyle w:val="a6"/>
        <w:spacing w:before="0" w:after="0" w:line="240" w:lineRule="auto"/>
        <w:ind w:firstLineChars="200" w:firstLine="520"/>
        <w:jc w:val="both"/>
        <w:rPr>
          <w:bCs/>
          <w:spacing w:val="10"/>
          <w:kern w:val="2"/>
        </w:rPr>
      </w:pPr>
      <w:r>
        <w:rPr>
          <w:bCs/>
          <w:spacing w:val="10"/>
          <w:kern w:val="2"/>
        </w:rPr>
        <w:t>2</w:t>
      </w:r>
      <w:r>
        <w:rPr>
          <w:rFonts w:hint="eastAsia"/>
          <w:bCs/>
          <w:spacing w:val="10"/>
          <w:kern w:val="2"/>
        </w:rPr>
        <w:t>、理财产品认</w:t>
      </w:r>
      <w:r>
        <w:rPr>
          <w:bCs/>
          <w:spacing w:val="10"/>
          <w:kern w:val="2"/>
        </w:rPr>
        <w:t>/</w:t>
      </w:r>
      <w:r>
        <w:rPr>
          <w:rFonts w:hint="eastAsia"/>
          <w:bCs/>
          <w:spacing w:val="10"/>
          <w:kern w:val="2"/>
        </w:rPr>
        <w:t>申购申请</w:t>
      </w:r>
    </w:p>
    <w:p w:rsidR="007762FD" w:rsidRDefault="0017797E">
      <w:pPr>
        <w:pStyle w:val="a6"/>
        <w:spacing w:before="0" w:after="0" w:line="240" w:lineRule="auto"/>
        <w:ind w:firstLineChars="200" w:firstLine="520"/>
        <w:jc w:val="both"/>
        <w:rPr>
          <w:bCs/>
          <w:spacing w:val="10"/>
          <w:kern w:val="2"/>
        </w:rPr>
      </w:pPr>
      <w:r>
        <w:rPr>
          <w:rFonts w:hint="eastAsia"/>
          <w:bCs/>
          <w:spacing w:val="10"/>
          <w:kern w:val="2"/>
        </w:rPr>
        <w:t>投资者自主决定是否购买理财产品。在理财产品募集期</w:t>
      </w:r>
      <w:r>
        <w:rPr>
          <w:bCs/>
          <w:spacing w:val="10"/>
          <w:kern w:val="2"/>
        </w:rPr>
        <w:t>/</w:t>
      </w:r>
      <w:r>
        <w:rPr>
          <w:rFonts w:hint="eastAsia"/>
          <w:bCs/>
          <w:spacing w:val="10"/>
          <w:kern w:val="2"/>
        </w:rPr>
        <w:t>开放期销售时段内，投资者需通过常熟农商银行下属各营业网点和电子渠道（包括但不限于手机银行等渠道）购买。投资者需通过相关渠道仔细阅读理财产品销售文件，根据认购</w:t>
      </w:r>
      <w:r>
        <w:rPr>
          <w:bCs/>
          <w:spacing w:val="10"/>
          <w:kern w:val="2"/>
        </w:rPr>
        <w:t>/</w:t>
      </w:r>
      <w:r>
        <w:rPr>
          <w:rFonts w:hint="eastAsia"/>
          <w:bCs/>
          <w:spacing w:val="10"/>
          <w:kern w:val="2"/>
        </w:rPr>
        <w:t>申购流程逐项点击确认进行购买，认</w:t>
      </w:r>
      <w:r>
        <w:rPr>
          <w:bCs/>
          <w:spacing w:val="10"/>
          <w:kern w:val="2"/>
        </w:rPr>
        <w:t>/</w:t>
      </w:r>
      <w:r>
        <w:rPr>
          <w:rFonts w:hint="eastAsia"/>
          <w:bCs/>
          <w:spacing w:val="10"/>
          <w:kern w:val="2"/>
        </w:rPr>
        <w:t>申购结果以在该等渠道的查询结果为准。</w:t>
      </w:r>
    </w:p>
    <w:p w:rsidR="007762FD" w:rsidRDefault="0017797E">
      <w:pPr>
        <w:pStyle w:val="a6"/>
        <w:spacing w:before="0" w:after="0" w:line="240" w:lineRule="auto"/>
        <w:ind w:firstLineChars="200" w:firstLine="520"/>
        <w:jc w:val="both"/>
        <w:rPr>
          <w:bCs/>
          <w:spacing w:val="10"/>
          <w:kern w:val="2"/>
        </w:rPr>
      </w:pPr>
      <w:r>
        <w:rPr>
          <w:bCs/>
          <w:spacing w:val="10"/>
          <w:kern w:val="2"/>
        </w:rPr>
        <w:t>3</w:t>
      </w:r>
      <w:r>
        <w:rPr>
          <w:rFonts w:hint="eastAsia"/>
          <w:bCs/>
          <w:spacing w:val="10"/>
          <w:kern w:val="2"/>
        </w:rPr>
        <w:t>、理财产品认</w:t>
      </w:r>
      <w:r>
        <w:rPr>
          <w:bCs/>
          <w:spacing w:val="10"/>
          <w:kern w:val="2"/>
        </w:rPr>
        <w:t>/</w:t>
      </w:r>
      <w:r>
        <w:rPr>
          <w:rFonts w:hint="eastAsia"/>
          <w:bCs/>
          <w:spacing w:val="10"/>
          <w:kern w:val="2"/>
        </w:rPr>
        <w:t>申购申请撤销。投资者在理财产品认购期</w:t>
      </w:r>
      <w:r>
        <w:rPr>
          <w:bCs/>
          <w:spacing w:val="10"/>
          <w:kern w:val="2"/>
        </w:rPr>
        <w:t>/</w:t>
      </w:r>
      <w:r>
        <w:rPr>
          <w:rFonts w:hint="eastAsia"/>
          <w:bCs/>
          <w:spacing w:val="10"/>
          <w:kern w:val="2"/>
        </w:rPr>
        <w:t>募集期</w:t>
      </w:r>
      <w:r>
        <w:rPr>
          <w:bCs/>
          <w:spacing w:val="10"/>
          <w:kern w:val="2"/>
        </w:rPr>
        <w:t>/</w:t>
      </w:r>
      <w:r>
        <w:rPr>
          <w:rFonts w:hint="eastAsia"/>
          <w:bCs/>
          <w:spacing w:val="10"/>
          <w:kern w:val="2"/>
        </w:rPr>
        <w:t>开放期</w:t>
      </w:r>
      <w:r>
        <w:rPr>
          <w:bCs/>
          <w:spacing w:val="10"/>
          <w:kern w:val="2"/>
        </w:rPr>
        <w:t>/</w:t>
      </w:r>
      <w:r>
        <w:rPr>
          <w:rFonts w:hint="eastAsia"/>
          <w:bCs/>
          <w:spacing w:val="10"/>
          <w:kern w:val="2"/>
        </w:rPr>
        <w:t>投资冷静期（私募产品适用）内，可以撤销理财产品相应的认</w:t>
      </w:r>
      <w:r>
        <w:rPr>
          <w:bCs/>
          <w:spacing w:val="10"/>
          <w:kern w:val="2"/>
        </w:rPr>
        <w:t>/</w:t>
      </w:r>
      <w:r>
        <w:rPr>
          <w:rFonts w:hint="eastAsia"/>
          <w:bCs/>
          <w:spacing w:val="10"/>
          <w:kern w:val="2"/>
        </w:rPr>
        <w:t>申购申请。</w:t>
      </w:r>
    </w:p>
    <w:p w:rsidR="007762FD" w:rsidRDefault="0017797E">
      <w:pPr>
        <w:pStyle w:val="a6"/>
        <w:spacing w:before="0" w:after="0" w:line="240" w:lineRule="auto"/>
        <w:ind w:firstLineChars="200" w:firstLine="520"/>
        <w:jc w:val="both"/>
        <w:rPr>
          <w:bCs/>
          <w:spacing w:val="10"/>
          <w:kern w:val="2"/>
        </w:rPr>
      </w:pPr>
      <w:r>
        <w:rPr>
          <w:bCs/>
          <w:spacing w:val="10"/>
          <w:kern w:val="2"/>
        </w:rPr>
        <w:t>4</w:t>
      </w:r>
      <w:r>
        <w:rPr>
          <w:rFonts w:hint="eastAsia"/>
          <w:bCs/>
          <w:spacing w:val="10"/>
          <w:kern w:val="2"/>
        </w:rPr>
        <w:t>、理财产品提前终止、赎回</w:t>
      </w:r>
      <w:r>
        <w:rPr>
          <w:bCs/>
          <w:spacing w:val="10"/>
          <w:kern w:val="2"/>
        </w:rPr>
        <w:t>/</w:t>
      </w:r>
      <w:r>
        <w:rPr>
          <w:rFonts w:hint="eastAsia"/>
          <w:bCs/>
          <w:spacing w:val="10"/>
          <w:kern w:val="2"/>
        </w:rPr>
        <w:t>到期兑付和税收。</w:t>
      </w:r>
    </w:p>
    <w:p w:rsidR="007762FD" w:rsidRDefault="0017797E">
      <w:pPr>
        <w:pStyle w:val="a6"/>
        <w:spacing w:before="0" w:after="0" w:line="240" w:lineRule="auto"/>
        <w:ind w:firstLineChars="200" w:firstLine="520"/>
        <w:jc w:val="both"/>
        <w:rPr>
          <w:bCs/>
          <w:spacing w:val="10"/>
          <w:kern w:val="2"/>
        </w:rPr>
      </w:pPr>
      <w:r>
        <w:rPr>
          <w:rFonts w:hint="eastAsia"/>
          <w:bCs/>
          <w:spacing w:val="10"/>
          <w:kern w:val="2"/>
        </w:rPr>
        <w:t>提前终止：当理财产品发生全部提前终止时，南银理财和代销机构应当按照对应期次理财产品销售文件约定的方式向投资者告知相应理财产品的提前终止事宜。</w:t>
      </w:r>
    </w:p>
    <w:p w:rsidR="007762FD" w:rsidRDefault="0017797E">
      <w:pPr>
        <w:pStyle w:val="a6"/>
        <w:spacing w:before="0" w:after="0" w:line="240" w:lineRule="auto"/>
        <w:ind w:firstLineChars="200" w:firstLine="520"/>
        <w:jc w:val="both"/>
        <w:rPr>
          <w:bCs/>
          <w:spacing w:val="10"/>
          <w:kern w:val="2"/>
        </w:rPr>
      </w:pPr>
      <w:r>
        <w:rPr>
          <w:rFonts w:hint="eastAsia"/>
          <w:bCs/>
          <w:spacing w:val="10"/>
          <w:kern w:val="2"/>
        </w:rPr>
        <w:t>赎回</w:t>
      </w:r>
      <w:r>
        <w:rPr>
          <w:bCs/>
          <w:spacing w:val="10"/>
          <w:kern w:val="2"/>
        </w:rPr>
        <w:t>/</w:t>
      </w:r>
      <w:r>
        <w:rPr>
          <w:rFonts w:hint="eastAsia"/>
          <w:bCs/>
          <w:spacing w:val="10"/>
          <w:kern w:val="2"/>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7762FD" w:rsidRDefault="0017797E">
      <w:pPr>
        <w:pStyle w:val="a6"/>
        <w:spacing w:before="0" w:after="0" w:line="240" w:lineRule="auto"/>
        <w:ind w:firstLine="480"/>
        <w:jc w:val="both"/>
        <w:rPr>
          <w:bCs/>
          <w:spacing w:val="10"/>
          <w:kern w:val="2"/>
        </w:rPr>
      </w:pPr>
      <w:r>
        <w:rPr>
          <w:rFonts w:hint="eastAsia"/>
          <w:bCs/>
          <w:spacing w:val="10"/>
          <w:kern w:val="2"/>
        </w:rPr>
        <w:t>税收：以对应期次的《理财产品说明书》约定的税务处理方式为准，如遇国家政策调整则相应执行最新政策。</w:t>
      </w:r>
    </w:p>
    <w:permEnd w:id="998931412"/>
    <w:p w:rsidR="007762FD" w:rsidRDefault="0017797E">
      <w:pPr>
        <w:pStyle w:val="a6"/>
        <w:spacing w:before="0" w:after="0" w:line="240" w:lineRule="auto"/>
        <w:ind w:firstLineChars="200" w:firstLine="522"/>
        <w:jc w:val="both"/>
        <w:rPr>
          <w:bCs/>
          <w:spacing w:val="10"/>
          <w:kern w:val="2"/>
        </w:rPr>
      </w:pPr>
      <w:r>
        <w:rPr>
          <w:rFonts w:hint="eastAsia"/>
          <w:b/>
          <w:spacing w:val="10"/>
          <w:kern w:val="2"/>
        </w:rPr>
        <w:t>第二条</w:t>
      </w:r>
      <w:r>
        <w:rPr>
          <w:b/>
          <w:spacing w:val="10"/>
          <w:kern w:val="2"/>
        </w:rPr>
        <w:t xml:space="preserve"> </w:t>
      </w:r>
      <w:r>
        <w:rPr>
          <w:rFonts w:hint="eastAsia"/>
          <w:b/>
          <w:spacing w:val="10"/>
          <w:kern w:val="2"/>
        </w:rPr>
        <w:t>投资者风险承受能力评估流程说明</w:t>
      </w:r>
    </w:p>
    <w:p w:rsidR="007762FD" w:rsidRDefault="0017797E">
      <w:pPr>
        <w:pStyle w:val="a6"/>
        <w:spacing w:before="0" w:after="0" w:line="240" w:lineRule="auto"/>
        <w:ind w:firstLine="478"/>
        <w:jc w:val="both"/>
        <w:rPr>
          <w:b/>
          <w:spacing w:val="10"/>
          <w:kern w:val="2"/>
        </w:rPr>
      </w:pPr>
      <w:r>
        <w:rPr>
          <w:rFonts w:hint="eastAsia"/>
          <w:b/>
          <w:spacing w:val="10"/>
          <w:kern w:val="2"/>
        </w:rPr>
        <w:t>（一）个人投资者风险承受能力评估流程说明</w:t>
      </w:r>
    </w:p>
    <w:p w:rsidR="007762FD" w:rsidRDefault="0017797E">
      <w:pPr>
        <w:pStyle w:val="a6"/>
        <w:spacing w:before="0" w:after="0" w:line="240" w:lineRule="auto"/>
        <w:ind w:firstLine="338"/>
        <w:jc w:val="both"/>
        <w:rPr>
          <w:bCs/>
          <w:spacing w:val="10"/>
          <w:kern w:val="2"/>
        </w:rPr>
      </w:pPr>
      <w:r>
        <w:rPr>
          <w:bCs/>
          <w:spacing w:val="10"/>
          <w:kern w:val="2"/>
        </w:rPr>
        <w:t>1</w:t>
      </w:r>
      <w:r>
        <w:rPr>
          <w:rFonts w:hint="eastAsia"/>
          <w:bCs/>
          <w:spacing w:val="10"/>
          <w:kern w:val="2"/>
        </w:rPr>
        <w:t>.</w:t>
      </w:r>
      <w:r>
        <w:rPr>
          <w:rFonts w:hint="eastAsia"/>
          <w:bCs/>
          <w:spacing w:val="10"/>
          <w:kern w:val="2"/>
        </w:rPr>
        <w:t>个人投资者首次通过销售机构购买理财产品时应根据销售机构的要求进行风险承受能力评估。</w:t>
      </w:r>
    </w:p>
    <w:p w:rsidR="007762FD" w:rsidRDefault="0017797E">
      <w:pPr>
        <w:pStyle w:val="a6"/>
        <w:spacing w:before="0" w:after="0" w:line="240" w:lineRule="auto"/>
        <w:ind w:firstLine="338"/>
        <w:jc w:val="both"/>
        <w:rPr>
          <w:bCs/>
          <w:spacing w:val="10"/>
          <w:kern w:val="2"/>
        </w:rPr>
      </w:pPr>
      <w:r>
        <w:rPr>
          <w:bCs/>
          <w:spacing w:val="10"/>
          <w:kern w:val="2"/>
        </w:rPr>
        <w:t>2</w:t>
      </w:r>
      <w:r>
        <w:rPr>
          <w:rFonts w:hint="eastAsia"/>
          <w:bCs/>
          <w:spacing w:val="10"/>
          <w:kern w:val="2"/>
        </w:rPr>
        <w:t>.</w:t>
      </w:r>
      <w:r>
        <w:rPr>
          <w:rFonts w:hint="eastAsia"/>
          <w:bCs/>
          <w:spacing w:val="10"/>
          <w:kern w:val="2"/>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7762FD" w:rsidRDefault="0017797E">
      <w:pPr>
        <w:pStyle w:val="a6"/>
        <w:spacing w:before="0" w:after="0" w:line="240" w:lineRule="auto"/>
        <w:ind w:firstLine="338"/>
        <w:jc w:val="both"/>
        <w:rPr>
          <w:bCs/>
          <w:spacing w:val="10"/>
          <w:kern w:val="2"/>
        </w:rPr>
      </w:pPr>
      <w:r>
        <w:rPr>
          <w:bCs/>
          <w:spacing w:val="10"/>
          <w:kern w:val="2"/>
        </w:rPr>
        <w:t>3</w:t>
      </w:r>
      <w:r>
        <w:rPr>
          <w:rFonts w:hint="eastAsia"/>
          <w:bCs/>
          <w:spacing w:val="10"/>
          <w:kern w:val="2"/>
        </w:rPr>
        <w:t>.</w:t>
      </w:r>
      <w:r>
        <w:rPr>
          <w:rFonts w:hint="eastAsia"/>
          <w:bCs/>
          <w:spacing w:val="10"/>
          <w:kern w:val="2"/>
        </w:rPr>
        <w:t>个人投资者风险承受能力评估流程</w:t>
      </w:r>
    </w:p>
    <w:p w:rsidR="007762FD" w:rsidRDefault="0017797E">
      <w:pPr>
        <w:pStyle w:val="a6"/>
        <w:spacing w:before="0" w:after="0" w:line="240" w:lineRule="auto"/>
        <w:ind w:firstLine="338"/>
        <w:jc w:val="both"/>
        <w:rPr>
          <w:bCs/>
          <w:spacing w:val="10"/>
          <w:kern w:val="2"/>
        </w:rPr>
      </w:pPr>
      <w:r>
        <w:rPr>
          <w:rFonts w:hint="eastAsia"/>
          <w:bCs/>
          <w:spacing w:val="10"/>
          <w:kern w:val="2"/>
        </w:rPr>
        <w:t>（</w:t>
      </w:r>
      <w:r>
        <w:rPr>
          <w:bCs/>
          <w:spacing w:val="10"/>
          <w:kern w:val="2"/>
        </w:rPr>
        <w:t>1</w:t>
      </w:r>
      <w:r>
        <w:rPr>
          <w:rFonts w:hint="eastAsia"/>
          <w:bCs/>
          <w:spacing w:val="10"/>
          <w:kern w:val="2"/>
        </w:rPr>
        <w:t>）个人投资者在销售机构进行风险承受能力评估；</w:t>
      </w:r>
    </w:p>
    <w:p w:rsidR="007762FD" w:rsidRDefault="0017797E">
      <w:pPr>
        <w:pStyle w:val="a6"/>
        <w:spacing w:before="0" w:after="0" w:line="240" w:lineRule="auto"/>
        <w:ind w:firstLine="338"/>
        <w:jc w:val="both"/>
        <w:rPr>
          <w:bCs/>
          <w:spacing w:val="10"/>
          <w:kern w:val="2"/>
        </w:rPr>
      </w:pPr>
      <w:r>
        <w:rPr>
          <w:rFonts w:hint="eastAsia"/>
          <w:bCs/>
          <w:spacing w:val="10"/>
          <w:kern w:val="2"/>
        </w:rPr>
        <w:t>（</w:t>
      </w:r>
      <w:r>
        <w:rPr>
          <w:bCs/>
          <w:spacing w:val="10"/>
          <w:kern w:val="2"/>
        </w:rPr>
        <w:t>2</w:t>
      </w:r>
      <w:r>
        <w:rPr>
          <w:rFonts w:hint="eastAsia"/>
          <w:bCs/>
          <w:spacing w:val="10"/>
          <w:kern w:val="2"/>
        </w:rPr>
        <w:t>）填写销售机构个人投资者风险承受能力测试问卷；</w:t>
      </w:r>
    </w:p>
    <w:p w:rsidR="007762FD" w:rsidRDefault="0017797E">
      <w:pPr>
        <w:pStyle w:val="a6"/>
        <w:spacing w:before="0" w:after="0" w:line="240" w:lineRule="auto"/>
        <w:ind w:firstLine="338"/>
        <w:jc w:val="both"/>
        <w:rPr>
          <w:bCs/>
          <w:spacing w:val="10"/>
          <w:kern w:val="2"/>
        </w:rPr>
      </w:pPr>
      <w:r>
        <w:rPr>
          <w:rFonts w:hint="eastAsia"/>
          <w:bCs/>
          <w:spacing w:val="10"/>
          <w:kern w:val="2"/>
        </w:rPr>
        <w:t>（</w:t>
      </w:r>
      <w:r>
        <w:rPr>
          <w:bCs/>
          <w:spacing w:val="10"/>
          <w:kern w:val="2"/>
        </w:rPr>
        <w:t>3</w:t>
      </w:r>
      <w:r>
        <w:rPr>
          <w:rFonts w:hint="eastAsia"/>
          <w:bCs/>
          <w:spacing w:val="10"/>
          <w:kern w:val="2"/>
        </w:rPr>
        <w:t>）生成相应的个人投资者风险承受能力评估结果；</w:t>
      </w:r>
    </w:p>
    <w:p w:rsidR="007762FD" w:rsidRDefault="0017797E">
      <w:pPr>
        <w:pStyle w:val="a6"/>
        <w:spacing w:before="0" w:after="0" w:line="240" w:lineRule="auto"/>
        <w:ind w:firstLine="338"/>
        <w:jc w:val="both"/>
        <w:rPr>
          <w:bCs/>
          <w:spacing w:val="10"/>
          <w:kern w:val="2"/>
        </w:rPr>
      </w:pPr>
      <w:r>
        <w:rPr>
          <w:rFonts w:hint="eastAsia"/>
          <w:bCs/>
          <w:spacing w:val="10"/>
          <w:kern w:val="2"/>
        </w:rPr>
        <w:t>（</w:t>
      </w:r>
      <w:r>
        <w:rPr>
          <w:bCs/>
          <w:spacing w:val="10"/>
          <w:kern w:val="2"/>
        </w:rPr>
        <w:t>4</w:t>
      </w:r>
      <w:r>
        <w:rPr>
          <w:rFonts w:hint="eastAsia"/>
          <w:bCs/>
          <w:spacing w:val="10"/>
          <w:kern w:val="2"/>
        </w:rPr>
        <w:t>）投资者对评估结果进行确认。</w:t>
      </w:r>
    </w:p>
    <w:p w:rsidR="007762FD" w:rsidRDefault="0017797E">
      <w:pPr>
        <w:pStyle w:val="a6"/>
        <w:spacing w:before="0" w:after="0" w:line="240" w:lineRule="auto"/>
        <w:ind w:firstLine="478"/>
        <w:jc w:val="both"/>
        <w:rPr>
          <w:bCs/>
          <w:spacing w:val="10"/>
          <w:kern w:val="2"/>
        </w:rPr>
      </w:pPr>
      <w:r>
        <w:rPr>
          <w:rFonts w:hint="eastAsia"/>
          <w:bCs/>
          <w:spacing w:val="10"/>
          <w:kern w:val="2"/>
        </w:rPr>
        <w:t>●特别提示：如个人投资者发生可能影响其自身风险承受能力的情况，再次购买理财产品时应当主动要求销售机构对其进行风险承受能力评估。</w:t>
      </w:r>
    </w:p>
    <w:p w:rsidR="007762FD" w:rsidRDefault="0017797E">
      <w:pPr>
        <w:pStyle w:val="a6"/>
        <w:spacing w:before="0" w:after="0" w:line="240" w:lineRule="auto"/>
        <w:ind w:firstLineChars="200" w:firstLine="520"/>
        <w:jc w:val="both"/>
        <w:rPr>
          <w:spacing w:val="10"/>
          <w:kern w:val="2"/>
        </w:rPr>
      </w:pPr>
      <w:r>
        <w:rPr>
          <w:rFonts w:hint="eastAsia"/>
          <w:spacing w:val="10"/>
          <w:kern w:val="2"/>
        </w:rPr>
        <w:t>评级具体含义说明。投资者风险承受能力评估结果的含义如下：</w:t>
      </w:r>
    </w:p>
    <w:p w:rsidR="007762FD" w:rsidRDefault="0017797E">
      <w:pPr>
        <w:pStyle w:val="a6"/>
        <w:spacing w:before="0" w:after="0" w:line="240" w:lineRule="auto"/>
        <w:ind w:firstLineChars="200" w:firstLine="480"/>
        <w:jc w:val="both"/>
        <w:rPr>
          <w:spacing w:val="10"/>
          <w:kern w:val="2"/>
        </w:rPr>
      </w:pPr>
      <w:permStart w:id="989294463"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kern w:val="2"/>
        </w:rPr>
        <w:t>。</w:t>
      </w:r>
    </w:p>
    <w:p w:rsidR="007762FD" w:rsidRDefault="0017797E">
      <w:pPr>
        <w:pStyle w:val="a6"/>
        <w:spacing w:before="0" w:after="0" w:line="240" w:lineRule="auto"/>
        <w:ind w:firstLineChars="200" w:firstLine="480"/>
        <w:jc w:val="both"/>
        <w:rPr>
          <w:spacing w:val="10"/>
          <w:kern w:val="2"/>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kern w:val="2"/>
        </w:rPr>
        <w:t>。</w:t>
      </w:r>
    </w:p>
    <w:p w:rsidR="007762FD" w:rsidRDefault="0017797E">
      <w:pPr>
        <w:pStyle w:val="a6"/>
        <w:spacing w:before="0" w:after="0" w:line="240" w:lineRule="auto"/>
        <w:ind w:firstLineChars="200" w:firstLine="480"/>
        <w:jc w:val="both"/>
        <w:rPr>
          <w:spacing w:val="10"/>
          <w:kern w:val="2"/>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kern w:val="2"/>
        </w:rPr>
        <w:t>。</w:t>
      </w:r>
    </w:p>
    <w:p w:rsidR="007762FD" w:rsidRDefault="0017797E">
      <w:pPr>
        <w:pStyle w:val="a6"/>
        <w:spacing w:before="0" w:after="0" w:line="240" w:lineRule="auto"/>
        <w:ind w:firstLineChars="200" w:firstLine="480"/>
        <w:jc w:val="both"/>
        <w:rPr>
          <w:spacing w:val="10"/>
          <w:kern w:val="2"/>
        </w:rPr>
      </w:pPr>
      <w:r>
        <w:rPr>
          <w:rFonts w:ascii="宋体" w:hAnsi="宋体" w:cs="宋体" w:hint="eastAsia"/>
          <w:color w:val="333333"/>
        </w:rPr>
        <w:t>四级，进取型客户：指适合购买或使用价值波动较大的金融产品或服务，承担中等至高风险类型的金融消费者</w:t>
      </w:r>
      <w:r>
        <w:rPr>
          <w:rFonts w:hint="eastAsia"/>
          <w:spacing w:val="10"/>
          <w:kern w:val="2"/>
        </w:rPr>
        <w:t>。</w:t>
      </w:r>
    </w:p>
    <w:p w:rsidR="007762FD" w:rsidRDefault="0017797E">
      <w:pPr>
        <w:pStyle w:val="a6"/>
        <w:spacing w:before="0" w:after="0" w:line="240" w:lineRule="auto"/>
        <w:ind w:firstLineChars="200" w:firstLine="480"/>
        <w:jc w:val="both"/>
        <w:rPr>
          <w:spacing w:val="10"/>
          <w:kern w:val="2"/>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kern w:val="2"/>
        </w:rPr>
        <w:t>。</w:t>
      </w:r>
    </w:p>
    <w:permEnd w:id="989294463"/>
    <w:p w:rsidR="007762FD" w:rsidRDefault="0017797E">
      <w:pPr>
        <w:pStyle w:val="a6"/>
        <w:spacing w:before="0" w:after="0" w:line="240" w:lineRule="auto"/>
        <w:ind w:firstLineChars="200" w:firstLine="522"/>
        <w:jc w:val="both"/>
        <w:rPr>
          <w:b/>
          <w:spacing w:val="10"/>
          <w:kern w:val="2"/>
        </w:rPr>
      </w:pPr>
      <w:r>
        <w:rPr>
          <w:rFonts w:hint="eastAsia"/>
          <w:b/>
          <w:spacing w:val="10"/>
          <w:kern w:val="2"/>
        </w:rPr>
        <w:t>（二）机构投资者风险承受能力评估流程说明</w:t>
      </w:r>
    </w:p>
    <w:p w:rsidR="007762FD" w:rsidRDefault="0017797E">
      <w:pPr>
        <w:pStyle w:val="a6"/>
        <w:spacing w:before="0" w:after="0" w:line="240" w:lineRule="auto"/>
        <w:ind w:firstLine="478"/>
        <w:jc w:val="both"/>
        <w:rPr>
          <w:bCs/>
          <w:spacing w:val="10"/>
          <w:kern w:val="2"/>
        </w:rPr>
      </w:pPr>
      <w:r>
        <w:rPr>
          <w:rFonts w:hint="eastAsia"/>
          <w:bCs/>
          <w:spacing w:val="10"/>
          <w:kern w:val="2"/>
        </w:rPr>
        <w:t>机构投资者请根据自身的财务状况、投资经验、投资目标、风险认知、风险判断及其他因素综合考量理财产品的投资风险及自身的风险承受能力。</w:t>
      </w:r>
    </w:p>
    <w:p w:rsidR="007762FD" w:rsidRDefault="0017797E">
      <w:pPr>
        <w:pStyle w:val="a6"/>
        <w:spacing w:before="0" w:after="0" w:line="240" w:lineRule="auto"/>
        <w:ind w:firstLine="478"/>
        <w:jc w:val="both"/>
        <w:rPr>
          <w:bCs/>
          <w:spacing w:val="10"/>
          <w:kern w:val="2"/>
        </w:rPr>
      </w:pPr>
      <w:r>
        <w:rPr>
          <w:rFonts w:hint="eastAsia"/>
          <w:b/>
          <w:spacing w:val="10"/>
          <w:kern w:val="2"/>
        </w:rPr>
        <w:t>第三条</w:t>
      </w:r>
      <w:r>
        <w:rPr>
          <w:b/>
          <w:spacing w:val="10"/>
          <w:kern w:val="2"/>
        </w:rPr>
        <w:t xml:space="preserve"> </w:t>
      </w:r>
      <w:r>
        <w:rPr>
          <w:rFonts w:hint="eastAsia"/>
          <w:b/>
          <w:spacing w:val="10"/>
          <w:kern w:val="2"/>
        </w:rPr>
        <w:t>理财产品风险等级说明</w:t>
      </w:r>
    </w:p>
    <w:p w:rsidR="007762FD" w:rsidRDefault="0017797E">
      <w:pPr>
        <w:pStyle w:val="a6"/>
        <w:spacing w:before="0" w:after="0" w:line="240" w:lineRule="auto"/>
        <w:ind w:firstLineChars="199" w:firstLine="517"/>
        <w:jc w:val="both"/>
        <w:rPr>
          <w:spacing w:val="10"/>
          <w:kern w:val="2"/>
        </w:rPr>
      </w:pPr>
      <w:r>
        <w:rPr>
          <w:rFonts w:hint="eastAsia"/>
          <w:spacing w:val="10"/>
          <w:kern w:val="2"/>
        </w:rPr>
        <w:t>由于理财产品的运行方式和投资范围等不同，其承担的风险程度各有不同，南银理财将其风险等级分为五级，分别为：</w:t>
      </w:r>
      <w:r>
        <w:rPr>
          <w:rFonts w:hint="eastAsia"/>
          <w:spacing w:val="10"/>
          <w:kern w:val="2"/>
        </w:rPr>
        <w:t>PR1</w:t>
      </w:r>
      <w:r>
        <w:rPr>
          <w:rFonts w:hint="eastAsia"/>
          <w:spacing w:val="10"/>
          <w:kern w:val="2"/>
        </w:rPr>
        <w:t>级（低风险）、</w:t>
      </w:r>
      <w:r>
        <w:rPr>
          <w:rFonts w:hint="eastAsia"/>
          <w:spacing w:val="10"/>
          <w:kern w:val="2"/>
        </w:rPr>
        <w:t>PR2</w:t>
      </w:r>
      <w:r>
        <w:rPr>
          <w:rFonts w:hint="eastAsia"/>
          <w:spacing w:val="10"/>
          <w:kern w:val="2"/>
        </w:rPr>
        <w:t>级（中低风险）、</w:t>
      </w:r>
      <w:r>
        <w:rPr>
          <w:rFonts w:hint="eastAsia"/>
          <w:spacing w:val="10"/>
          <w:kern w:val="2"/>
        </w:rPr>
        <w:t>PR3</w:t>
      </w:r>
      <w:r>
        <w:rPr>
          <w:rFonts w:hint="eastAsia"/>
          <w:spacing w:val="10"/>
          <w:kern w:val="2"/>
        </w:rPr>
        <w:t>级（中等风险）、</w:t>
      </w:r>
      <w:r>
        <w:rPr>
          <w:spacing w:val="10"/>
          <w:kern w:val="2"/>
        </w:rPr>
        <w:t>PR4</w:t>
      </w:r>
      <w:r>
        <w:rPr>
          <w:rFonts w:hint="eastAsia"/>
          <w:spacing w:val="10"/>
          <w:kern w:val="2"/>
        </w:rPr>
        <w:t>级（中高风险）、</w:t>
      </w:r>
      <w:r>
        <w:rPr>
          <w:spacing w:val="10"/>
          <w:kern w:val="2"/>
        </w:rPr>
        <w:t>PR5</w:t>
      </w:r>
      <w:r>
        <w:rPr>
          <w:rFonts w:hint="eastAsia"/>
          <w:spacing w:val="10"/>
          <w:kern w:val="2"/>
        </w:rPr>
        <w:t>级（高风险）。</w:t>
      </w:r>
    </w:p>
    <w:p w:rsidR="007762FD" w:rsidRDefault="0017797E">
      <w:pPr>
        <w:pStyle w:val="a6"/>
        <w:spacing w:before="0" w:after="0" w:line="240" w:lineRule="auto"/>
        <w:ind w:firstLineChars="199" w:firstLine="517"/>
        <w:jc w:val="both"/>
        <w:rPr>
          <w:spacing w:val="10"/>
          <w:kern w:val="2"/>
        </w:rPr>
      </w:pPr>
      <w:r>
        <w:rPr>
          <w:spacing w:val="10"/>
          <w:kern w:val="2"/>
        </w:rPr>
        <w:t>PR1</w:t>
      </w:r>
      <w:r>
        <w:rPr>
          <w:rFonts w:hint="eastAsia"/>
          <w:spacing w:val="10"/>
          <w:kern w:val="2"/>
        </w:rPr>
        <w:t>级（低风险）：管理人不承诺本金保障，产品收益随投资表现变动，产品存在极低的本金损失风险。</w:t>
      </w:r>
    </w:p>
    <w:p w:rsidR="007762FD" w:rsidRDefault="0017797E">
      <w:pPr>
        <w:pStyle w:val="a6"/>
        <w:spacing w:before="0" w:after="0" w:line="240" w:lineRule="auto"/>
        <w:ind w:firstLineChars="199" w:firstLine="517"/>
        <w:jc w:val="both"/>
        <w:rPr>
          <w:spacing w:val="10"/>
          <w:kern w:val="2"/>
        </w:rPr>
      </w:pPr>
      <w:r>
        <w:rPr>
          <w:spacing w:val="10"/>
          <w:kern w:val="2"/>
        </w:rPr>
        <w:t>PR2</w:t>
      </w:r>
      <w:r>
        <w:rPr>
          <w:rFonts w:hint="eastAsia"/>
          <w:spacing w:val="10"/>
          <w:kern w:val="2"/>
        </w:rPr>
        <w:t>级（中低风险）：管理人不承诺本金保障，产品收益随投资表现变动，产品存在较低的本金损失风险。</w:t>
      </w:r>
    </w:p>
    <w:p w:rsidR="007762FD" w:rsidRDefault="0017797E">
      <w:pPr>
        <w:pStyle w:val="a6"/>
        <w:spacing w:before="0" w:after="0" w:line="240" w:lineRule="auto"/>
        <w:ind w:firstLineChars="199" w:firstLine="517"/>
        <w:jc w:val="both"/>
        <w:rPr>
          <w:spacing w:val="10"/>
          <w:kern w:val="2"/>
        </w:rPr>
      </w:pPr>
      <w:r>
        <w:rPr>
          <w:spacing w:val="10"/>
          <w:kern w:val="2"/>
        </w:rPr>
        <w:t>PR3</w:t>
      </w:r>
      <w:r>
        <w:rPr>
          <w:rFonts w:hint="eastAsia"/>
          <w:spacing w:val="10"/>
          <w:kern w:val="2"/>
        </w:rPr>
        <w:t>级（中等风险）：管理人不承诺本金保障，产品收益随投资表现变动，产品存在一定的本金损失风险。</w:t>
      </w:r>
    </w:p>
    <w:p w:rsidR="007762FD" w:rsidRDefault="0017797E">
      <w:pPr>
        <w:pStyle w:val="a6"/>
        <w:spacing w:before="0" w:after="0" w:line="240" w:lineRule="auto"/>
        <w:ind w:firstLineChars="199" w:firstLine="517"/>
        <w:jc w:val="both"/>
        <w:rPr>
          <w:spacing w:val="10"/>
          <w:kern w:val="2"/>
        </w:rPr>
      </w:pPr>
      <w:r>
        <w:rPr>
          <w:spacing w:val="10"/>
          <w:kern w:val="2"/>
        </w:rPr>
        <w:t>PR4</w:t>
      </w:r>
      <w:r>
        <w:rPr>
          <w:rFonts w:hint="eastAsia"/>
          <w:spacing w:val="10"/>
          <w:kern w:val="2"/>
        </w:rPr>
        <w:t>级（中高风险）：管理人不承诺本金保障，产品收益随投资表现变动，产品存在较高的本金损失风险。</w:t>
      </w:r>
    </w:p>
    <w:p w:rsidR="007762FD" w:rsidRDefault="0017797E">
      <w:pPr>
        <w:pStyle w:val="a6"/>
        <w:spacing w:before="0" w:after="0" w:line="240" w:lineRule="auto"/>
        <w:ind w:firstLineChars="198" w:firstLine="515"/>
        <w:jc w:val="both"/>
      </w:pPr>
      <w:r>
        <w:rPr>
          <w:spacing w:val="10"/>
          <w:kern w:val="2"/>
        </w:rPr>
        <w:t>PR5</w:t>
      </w:r>
      <w:r>
        <w:rPr>
          <w:rFonts w:hint="eastAsia"/>
          <w:spacing w:val="10"/>
          <w:kern w:val="2"/>
        </w:rPr>
        <w:t>级（高风险）：管理人不承诺本金保障，产品收益随投资表现变动，产品存在极高的本金损失风险，产品本金蒙受全部损失的可能性不容忽视。</w:t>
      </w:r>
    </w:p>
    <w:p w:rsidR="007762FD" w:rsidRDefault="0017797E">
      <w:pPr>
        <w:pStyle w:val="a6"/>
        <w:spacing w:before="0" w:after="0" w:line="240" w:lineRule="auto"/>
        <w:ind w:firstLineChars="199" w:firstLine="517"/>
        <w:jc w:val="both"/>
        <w:rPr>
          <w:spacing w:val="10"/>
          <w:kern w:val="2"/>
        </w:rPr>
      </w:pPr>
      <w:r>
        <w:rPr>
          <w:rFonts w:hint="eastAsia"/>
          <w:spacing w:val="10"/>
          <w:kern w:val="2"/>
        </w:rPr>
        <w:t>本风险等级为南银理财风险评级结果，该产品通过代理销售机构渠道销售的，理财产品评级应当以代理销售机构最终披露的评级结果为准。您需充分认识投资风险，谨慎投资。</w:t>
      </w:r>
    </w:p>
    <w:p w:rsidR="007762FD" w:rsidRDefault="0017797E">
      <w:pPr>
        <w:pStyle w:val="a6"/>
        <w:spacing w:before="0" w:after="0" w:line="240" w:lineRule="auto"/>
        <w:ind w:firstLineChars="200" w:firstLine="522"/>
        <w:jc w:val="both"/>
      </w:pPr>
      <w:r>
        <w:rPr>
          <w:rFonts w:hint="eastAsia"/>
          <w:b/>
          <w:spacing w:val="10"/>
          <w:kern w:val="2"/>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7762FD" w:rsidRDefault="0017797E">
      <w:pPr>
        <w:pStyle w:val="a6"/>
        <w:spacing w:before="0" w:after="0" w:line="240" w:lineRule="auto"/>
        <w:ind w:firstLineChars="198" w:firstLine="517"/>
        <w:jc w:val="both"/>
        <w:rPr>
          <w:b/>
          <w:bCs/>
          <w:spacing w:val="10"/>
          <w:kern w:val="2"/>
        </w:rPr>
      </w:pPr>
      <w:r>
        <w:rPr>
          <w:rFonts w:hint="eastAsia"/>
          <w:b/>
          <w:bCs/>
          <w:spacing w:val="10"/>
          <w:kern w:val="2"/>
        </w:rPr>
        <w:t>第四条</w:t>
      </w:r>
      <w:r>
        <w:rPr>
          <w:b/>
          <w:bCs/>
          <w:spacing w:val="10"/>
          <w:kern w:val="2"/>
        </w:rPr>
        <w:t xml:space="preserve"> </w:t>
      </w:r>
      <w:r>
        <w:rPr>
          <w:rFonts w:hint="eastAsia"/>
          <w:b/>
          <w:bCs/>
          <w:spacing w:val="10"/>
          <w:kern w:val="2"/>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7762FD">
        <w:trPr>
          <w:trHeight w:val="178"/>
          <w:jc w:val="center"/>
        </w:trPr>
        <w:tc>
          <w:tcPr>
            <w:tcW w:w="1866" w:type="dxa"/>
            <w:vMerge w:val="restart"/>
            <w:tcBorders>
              <w:top w:val="single" w:sz="4" w:space="0" w:color="auto"/>
              <w:left w:val="single" w:sz="4" w:space="0" w:color="auto"/>
              <w:right w:val="single" w:sz="4" w:space="0" w:color="auto"/>
            </w:tcBorders>
            <w:vAlign w:val="center"/>
          </w:tcPr>
          <w:p w:rsidR="007762FD" w:rsidRDefault="0017797E">
            <w:pPr>
              <w:widowControl/>
              <w:snapToGrid w:val="0"/>
              <w:jc w:val="center"/>
              <w:rPr>
                <w:rFonts w:ascii="宋体" w:hAnsi="宋体" w:cs="宋体"/>
                <w:kern w:val="0"/>
                <w:sz w:val="24"/>
                <w:szCs w:val="24"/>
              </w:rPr>
            </w:pPr>
            <w:r>
              <w:rPr>
                <w:rFonts w:ascii="宋体" w:hAnsi="宋体" w:cs="宋体" w:hint="eastAsia"/>
                <w:kern w:val="0"/>
                <w:sz w:val="24"/>
                <w:szCs w:val="24"/>
              </w:rPr>
              <w:t>个人投资者风险承受能力</w:t>
            </w:r>
          </w:p>
          <w:p w:rsidR="007762FD" w:rsidRDefault="0017797E">
            <w:pPr>
              <w:widowControl/>
              <w:snapToGrid w:val="0"/>
              <w:jc w:val="center"/>
              <w:rPr>
                <w:rFonts w:ascii="宋体" w:hAnsi="宋体" w:cs="宋体"/>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rsidR="007762FD" w:rsidRDefault="0017797E">
            <w:pPr>
              <w:widowControl/>
              <w:snapToGrid w:val="0"/>
              <w:jc w:val="center"/>
              <w:rPr>
                <w:rFonts w:ascii="宋体" w:hAnsi="宋体" w:cs="宋体"/>
                <w:kern w:val="0"/>
                <w:sz w:val="24"/>
                <w:szCs w:val="24"/>
              </w:rPr>
            </w:pPr>
            <w:r>
              <w:rPr>
                <w:rFonts w:ascii="宋体" w:hAnsi="宋体" w:cs="宋体" w:hint="eastAsia"/>
                <w:kern w:val="0"/>
                <w:sz w:val="24"/>
                <w:szCs w:val="24"/>
              </w:rPr>
              <w:t>南银理财理财产品风险等级</w:t>
            </w:r>
          </w:p>
        </w:tc>
      </w:tr>
      <w:tr w:rsidR="007762FD">
        <w:trPr>
          <w:trHeight w:val="735"/>
          <w:jc w:val="center"/>
        </w:trPr>
        <w:tc>
          <w:tcPr>
            <w:tcW w:w="1866" w:type="dxa"/>
            <w:vMerge/>
            <w:tcBorders>
              <w:left w:val="single" w:sz="4" w:space="0" w:color="auto"/>
              <w:bottom w:val="single" w:sz="4" w:space="0" w:color="auto"/>
              <w:right w:val="single" w:sz="4" w:space="0" w:color="auto"/>
            </w:tcBorders>
            <w:vAlign w:val="center"/>
          </w:tcPr>
          <w:p w:rsidR="007762FD" w:rsidRDefault="007762FD">
            <w:pPr>
              <w:widowControl/>
              <w:snapToGrid w:val="0"/>
              <w:jc w:val="center"/>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vAlign w:val="center"/>
          </w:tcPr>
          <w:p w:rsidR="007762FD" w:rsidRDefault="0017797E">
            <w:pPr>
              <w:widowControl/>
              <w:snapToGrid w:val="0"/>
              <w:jc w:val="center"/>
              <w:rPr>
                <w:rFonts w:ascii="宋体" w:hAnsi="宋体" w:cs="宋体"/>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7762FD" w:rsidRDefault="0017797E">
            <w:pPr>
              <w:widowControl/>
              <w:snapToGrid w:val="0"/>
              <w:jc w:val="center"/>
              <w:rPr>
                <w:rFonts w:ascii="宋体" w:hAnsi="宋体" w:cs="宋体"/>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7762FD" w:rsidRDefault="0017797E">
            <w:pPr>
              <w:widowControl/>
              <w:snapToGrid w:val="0"/>
              <w:jc w:val="center"/>
              <w:rPr>
                <w:rFonts w:ascii="宋体" w:hAnsi="宋体" w:cs="宋体"/>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7762FD" w:rsidRDefault="0017797E">
            <w:pPr>
              <w:widowControl/>
              <w:snapToGrid w:val="0"/>
              <w:jc w:val="center"/>
              <w:rPr>
                <w:rFonts w:ascii="宋体" w:hAnsi="宋体" w:cs="宋体"/>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rsidR="007762FD" w:rsidRDefault="0017797E">
            <w:pPr>
              <w:widowControl/>
              <w:snapToGrid w:val="0"/>
              <w:jc w:val="center"/>
              <w:rPr>
                <w:rFonts w:ascii="宋体" w:hAnsi="宋体" w:cs="宋体"/>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7762FD">
        <w:trPr>
          <w:trHeight w:val="270"/>
          <w:jc w:val="center"/>
        </w:trPr>
        <w:tc>
          <w:tcPr>
            <w:tcW w:w="1866" w:type="dxa"/>
            <w:tcBorders>
              <w:top w:val="nil"/>
              <w:left w:val="single" w:sz="4" w:space="0" w:color="auto"/>
              <w:bottom w:val="single" w:sz="4" w:space="0" w:color="auto"/>
              <w:right w:val="single" w:sz="4" w:space="0" w:color="auto"/>
            </w:tcBorders>
            <w:vAlign w:val="center"/>
          </w:tcPr>
          <w:p w:rsidR="007762FD" w:rsidRDefault="0017797E">
            <w:pPr>
              <w:widowControl/>
              <w:snapToGrid w:val="0"/>
              <w:jc w:val="center"/>
              <w:rPr>
                <w:rFonts w:ascii="宋体" w:hAnsi="宋体" w:cs="宋体"/>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r>
      <w:tr w:rsidR="007762FD">
        <w:trPr>
          <w:trHeight w:val="270"/>
          <w:jc w:val="center"/>
        </w:trPr>
        <w:tc>
          <w:tcPr>
            <w:tcW w:w="1866" w:type="dxa"/>
            <w:tcBorders>
              <w:top w:val="nil"/>
              <w:left w:val="single" w:sz="4" w:space="0" w:color="auto"/>
              <w:bottom w:val="single" w:sz="4" w:space="0" w:color="auto"/>
              <w:right w:val="single" w:sz="4" w:space="0" w:color="auto"/>
            </w:tcBorders>
            <w:vAlign w:val="center"/>
          </w:tcPr>
          <w:p w:rsidR="007762FD" w:rsidRDefault="0017797E">
            <w:pPr>
              <w:widowControl/>
              <w:snapToGrid w:val="0"/>
              <w:jc w:val="center"/>
              <w:rPr>
                <w:rFonts w:ascii="宋体" w:hAnsi="宋体" w:cs="宋体"/>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r>
      <w:tr w:rsidR="007762FD">
        <w:trPr>
          <w:trHeight w:val="270"/>
          <w:jc w:val="center"/>
        </w:trPr>
        <w:tc>
          <w:tcPr>
            <w:tcW w:w="1866" w:type="dxa"/>
            <w:tcBorders>
              <w:top w:val="nil"/>
              <w:left w:val="single" w:sz="4" w:space="0" w:color="auto"/>
              <w:bottom w:val="single" w:sz="4" w:space="0" w:color="auto"/>
              <w:right w:val="single" w:sz="4" w:space="0" w:color="auto"/>
            </w:tcBorders>
            <w:vAlign w:val="center"/>
          </w:tcPr>
          <w:p w:rsidR="007762FD" w:rsidRDefault="0017797E">
            <w:pPr>
              <w:widowControl/>
              <w:snapToGrid w:val="0"/>
              <w:jc w:val="center"/>
              <w:rPr>
                <w:rFonts w:ascii="宋体" w:hAnsi="宋体" w:cs="宋体"/>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r>
      <w:tr w:rsidR="007762FD">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7762FD" w:rsidRDefault="0017797E">
            <w:pPr>
              <w:widowControl/>
              <w:snapToGrid w:val="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r>
      <w:tr w:rsidR="007762FD">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7762FD" w:rsidRDefault="0017797E">
            <w:pPr>
              <w:widowControl/>
              <w:snapToGrid w:val="0"/>
              <w:jc w:val="center"/>
              <w:rPr>
                <w:rFonts w:ascii="宋体" w:hAnsi="宋体" w:cs="宋体"/>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rsidR="007762FD" w:rsidRDefault="0017797E">
            <w:pPr>
              <w:widowControl/>
              <w:snapToGrid w:val="0"/>
              <w:jc w:val="center"/>
              <w:rPr>
                <w:rFonts w:ascii="宋体" w:hAnsi="宋体" w:cs="宋体"/>
                <w:kern w:val="0"/>
                <w:sz w:val="24"/>
                <w:szCs w:val="24"/>
              </w:rPr>
            </w:pPr>
            <w:r>
              <w:rPr>
                <w:rFonts w:hint="eastAsia"/>
                <w:spacing w:val="10"/>
                <w:sz w:val="24"/>
                <w:szCs w:val="24"/>
              </w:rPr>
              <w:t>√</w:t>
            </w:r>
          </w:p>
        </w:tc>
      </w:tr>
    </w:tbl>
    <w:p w:rsidR="007762FD" w:rsidRDefault="0017797E">
      <w:pPr>
        <w:pStyle w:val="a6"/>
        <w:spacing w:before="0" w:after="0" w:line="240" w:lineRule="auto"/>
        <w:ind w:firstLineChars="200" w:firstLine="520"/>
        <w:jc w:val="center"/>
        <w:rPr>
          <w:b/>
          <w:spacing w:val="10"/>
          <w:kern w:val="2"/>
        </w:rPr>
      </w:pPr>
      <w:r>
        <w:rPr>
          <w:rFonts w:hint="eastAsia"/>
          <w:spacing w:val="10"/>
          <w:kern w:val="2"/>
        </w:rPr>
        <w:t>备注：√代表可以购买；×代表不能购买。</w:t>
      </w:r>
    </w:p>
    <w:p w:rsidR="007762FD" w:rsidRDefault="0017797E">
      <w:pPr>
        <w:pStyle w:val="a6"/>
        <w:spacing w:before="0" w:after="0" w:line="240" w:lineRule="auto"/>
        <w:ind w:firstLineChars="200" w:firstLine="522"/>
        <w:rPr>
          <w:b/>
          <w:spacing w:val="10"/>
          <w:kern w:val="2"/>
        </w:rPr>
      </w:pPr>
      <w:r>
        <w:rPr>
          <w:rFonts w:hint="eastAsia"/>
          <w:b/>
          <w:spacing w:val="10"/>
          <w:kern w:val="2"/>
        </w:rPr>
        <w:t>第五条</w:t>
      </w:r>
      <w:r>
        <w:rPr>
          <w:rFonts w:hint="eastAsia"/>
          <w:b/>
          <w:spacing w:val="10"/>
          <w:kern w:val="2"/>
        </w:rPr>
        <w:t xml:space="preserve"> </w:t>
      </w:r>
      <w:r>
        <w:rPr>
          <w:rFonts w:hint="eastAsia"/>
          <w:b/>
          <w:spacing w:val="10"/>
          <w:kern w:val="2"/>
        </w:rPr>
        <w:t>理财产品信息披露的方式、渠道和频率说明</w:t>
      </w:r>
    </w:p>
    <w:p w:rsidR="007762FD" w:rsidRDefault="0017797E">
      <w:pPr>
        <w:pStyle w:val="a6"/>
        <w:spacing w:before="0" w:after="0" w:line="240" w:lineRule="auto"/>
        <w:ind w:firstLineChars="200" w:firstLine="520"/>
        <w:rPr>
          <w:bCs/>
          <w:spacing w:val="10"/>
          <w:kern w:val="2"/>
        </w:rPr>
      </w:pPr>
      <w:r>
        <w:rPr>
          <w:rFonts w:hint="eastAsia"/>
          <w:bCs/>
          <w:spacing w:val="10"/>
          <w:kern w:val="2"/>
        </w:rPr>
        <w:t>南银理财按照对应期次《理财产品说明书》约定的方式、渠道和频率进行信息披露。投资者应密切关注与本理财产品有关的信息披露，以免造成不必要的损失。</w:t>
      </w:r>
    </w:p>
    <w:p w:rsidR="007762FD" w:rsidRDefault="0017797E">
      <w:pPr>
        <w:pStyle w:val="a6"/>
        <w:spacing w:before="0" w:after="0" w:line="240" w:lineRule="auto"/>
        <w:ind w:firstLineChars="200" w:firstLine="520"/>
        <w:rPr>
          <w:bCs/>
          <w:spacing w:val="10"/>
          <w:kern w:val="2"/>
        </w:rPr>
      </w:pPr>
      <w:r>
        <w:rPr>
          <w:rFonts w:hint="eastAsia"/>
          <w:bCs/>
          <w:spacing w:val="10"/>
          <w:kern w:val="2"/>
        </w:rPr>
        <w:t>投资者预留在南银理财或销售机构的有效联系方式变更的，应及时通知南银理财或销售机构。</w:t>
      </w:r>
      <w:r>
        <w:rPr>
          <w:rFonts w:hint="eastAsia"/>
          <w:b/>
          <w:spacing w:val="10"/>
          <w:kern w:val="2"/>
        </w:rPr>
        <w:t>如投资者未及时告知南银理财或销售机构联系方式变更，造成南银理财或销售机构在需要时无法联系投资者，并由此影响投资者的投资决策，因此而产生的责任和风险由投资者自行承担。</w:t>
      </w:r>
    </w:p>
    <w:p w:rsidR="007762FD" w:rsidRDefault="0017797E">
      <w:pPr>
        <w:pStyle w:val="a6"/>
        <w:spacing w:before="0" w:after="0" w:line="240" w:lineRule="auto"/>
        <w:ind w:firstLineChars="200" w:firstLine="522"/>
        <w:rPr>
          <w:bCs/>
          <w:spacing w:val="10"/>
          <w:kern w:val="2"/>
        </w:rPr>
      </w:pPr>
      <w:r>
        <w:rPr>
          <w:rFonts w:hint="eastAsia"/>
          <w:b/>
          <w:spacing w:val="10"/>
          <w:kern w:val="2"/>
        </w:rPr>
        <w:t>第六条</w:t>
      </w:r>
      <w:r>
        <w:rPr>
          <w:rFonts w:hint="eastAsia"/>
          <w:b/>
          <w:spacing w:val="10"/>
          <w:kern w:val="2"/>
        </w:rPr>
        <w:t xml:space="preserve"> </w:t>
      </w:r>
      <w:r>
        <w:rPr>
          <w:rFonts w:hint="eastAsia"/>
          <w:b/>
          <w:spacing w:val="10"/>
          <w:kern w:val="2"/>
        </w:rPr>
        <w:t>投资者信息保护</w:t>
      </w:r>
    </w:p>
    <w:p w:rsidR="007762FD" w:rsidRDefault="0017797E">
      <w:pPr>
        <w:pStyle w:val="a6"/>
        <w:spacing w:before="0" w:after="0" w:line="240" w:lineRule="auto"/>
        <w:ind w:firstLineChars="200" w:firstLine="520"/>
        <w:rPr>
          <w:bCs/>
          <w:spacing w:val="10"/>
          <w:kern w:val="2"/>
        </w:rPr>
      </w:pPr>
      <w:r>
        <w:rPr>
          <w:rFonts w:hint="eastAsia"/>
          <w:bCs/>
          <w:spacing w:val="10"/>
          <w:kern w:val="2"/>
        </w:rPr>
        <w:t>南银理财及销售机构承诺依法履行投资者信息保密义务，防范投资者信息被不当采集、使用、传输和泄露，保护投资者的信息安全，法律法规另有规定，或有权机关另有要求的情形除外。</w:t>
      </w:r>
    </w:p>
    <w:p w:rsidR="007762FD" w:rsidRDefault="0017797E">
      <w:pPr>
        <w:pStyle w:val="a6"/>
        <w:spacing w:before="0" w:after="0" w:line="240" w:lineRule="auto"/>
        <w:ind w:firstLineChars="200" w:firstLine="522"/>
        <w:rPr>
          <w:b/>
          <w:spacing w:val="10"/>
          <w:kern w:val="2"/>
        </w:rPr>
      </w:pPr>
      <w:r>
        <w:rPr>
          <w:rFonts w:hint="eastAsia"/>
          <w:b/>
          <w:spacing w:val="10"/>
          <w:kern w:val="2"/>
        </w:rPr>
        <w:t>第七条</w:t>
      </w:r>
      <w:r>
        <w:rPr>
          <w:rFonts w:hint="eastAsia"/>
          <w:b/>
          <w:spacing w:val="10"/>
          <w:kern w:val="2"/>
        </w:rPr>
        <w:t xml:space="preserve"> </w:t>
      </w:r>
      <w:r>
        <w:rPr>
          <w:rFonts w:hint="eastAsia"/>
          <w:b/>
          <w:spacing w:val="10"/>
          <w:kern w:val="2"/>
        </w:rPr>
        <w:t>投资者投诉的方式和程序</w:t>
      </w:r>
    </w:p>
    <w:p w:rsidR="007762FD" w:rsidRDefault="0017797E">
      <w:pPr>
        <w:pStyle w:val="a6"/>
        <w:spacing w:before="0" w:after="0" w:line="240" w:lineRule="auto"/>
        <w:ind w:firstLineChars="200" w:firstLine="520"/>
        <w:rPr>
          <w:bCs/>
          <w:spacing w:val="10"/>
          <w:kern w:val="2"/>
        </w:rPr>
      </w:pPr>
      <w:r>
        <w:rPr>
          <w:rFonts w:hint="eastAsia"/>
          <w:bCs/>
          <w:spacing w:val="10"/>
          <w:kern w:val="2"/>
        </w:rPr>
        <w:t>投资者若需针对产品的设计、成立、运作、到期清算或提前终止等事项进行投诉，</w:t>
      </w:r>
      <w:r>
        <w:rPr>
          <w:rFonts w:hint="eastAsia"/>
          <w:b/>
          <w:spacing w:val="10"/>
          <w:kern w:val="2"/>
        </w:rPr>
        <w:t>可与管理人或销售机构联系，管理人或销售机构将及时接听、记录投资者的意见或建议</w:t>
      </w:r>
      <w:r>
        <w:rPr>
          <w:b/>
          <w:spacing w:val="10"/>
          <w:kern w:val="2"/>
        </w:rPr>
        <w:t>，</w:t>
      </w:r>
      <w:r>
        <w:rPr>
          <w:rFonts w:hint="eastAsia"/>
          <w:b/>
          <w:spacing w:val="10"/>
          <w:kern w:val="2"/>
        </w:rPr>
        <w:t>并与投资者协商共同解决</w:t>
      </w:r>
      <w:r>
        <w:rPr>
          <w:rFonts w:hint="eastAsia"/>
          <w:bCs/>
          <w:spacing w:val="10"/>
          <w:kern w:val="2"/>
        </w:rPr>
        <w:t>。</w:t>
      </w:r>
    </w:p>
    <w:p w:rsidR="007762FD" w:rsidRDefault="0017797E">
      <w:pPr>
        <w:pStyle w:val="a6"/>
        <w:spacing w:before="0" w:after="0" w:line="240" w:lineRule="auto"/>
        <w:ind w:firstLineChars="200" w:firstLine="522"/>
        <w:rPr>
          <w:b/>
          <w:spacing w:val="10"/>
          <w:kern w:val="2"/>
        </w:rPr>
      </w:pPr>
      <w:r>
        <w:rPr>
          <w:rFonts w:hint="eastAsia"/>
          <w:b/>
          <w:spacing w:val="10"/>
          <w:kern w:val="2"/>
        </w:rPr>
        <w:t>第八条</w:t>
      </w:r>
      <w:r>
        <w:rPr>
          <w:rFonts w:hint="eastAsia"/>
          <w:b/>
          <w:spacing w:val="10"/>
          <w:kern w:val="2"/>
        </w:rPr>
        <w:t xml:space="preserve"> </w:t>
      </w:r>
      <w:r>
        <w:rPr>
          <w:rFonts w:hint="eastAsia"/>
          <w:b/>
          <w:spacing w:val="10"/>
          <w:kern w:val="2"/>
        </w:rPr>
        <w:t>联系方式</w:t>
      </w:r>
    </w:p>
    <w:p w:rsidR="007762FD" w:rsidRDefault="0017797E">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rsidR="007762FD" w:rsidRDefault="0017797E">
      <w:pPr>
        <w:pStyle w:val="a6"/>
        <w:spacing w:before="0" w:after="0" w:line="240" w:lineRule="auto"/>
        <w:ind w:firstLineChars="200" w:firstLine="522"/>
        <w:rPr>
          <w:b/>
          <w:spacing w:val="10"/>
          <w:kern w:val="2"/>
        </w:rPr>
      </w:pPr>
      <w:r>
        <w:rPr>
          <w:rFonts w:hint="eastAsia"/>
          <w:b/>
          <w:spacing w:val="10"/>
          <w:kern w:val="2"/>
        </w:rPr>
        <w:t>联系方式分别如下：</w:t>
      </w:r>
    </w:p>
    <w:p w:rsidR="007762FD" w:rsidRDefault="0017797E">
      <w:pPr>
        <w:pStyle w:val="a6"/>
        <w:spacing w:before="0" w:after="0" w:line="240" w:lineRule="auto"/>
        <w:ind w:firstLineChars="200" w:firstLine="520"/>
        <w:rPr>
          <w:bCs/>
          <w:spacing w:val="10"/>
          <w:kern w:val="2"/>
        </w:rPr>
      </w:pPr>
      <w:r>
        <w:rPr>
          <w:rFonts w:hint="eastAsia"/>
          <w:bCs/>
          <w:spacing w:val="10"/>
          <w:kern w:val="2"/>
        </w:rPr>
        <w:t>（一）南银理财联系方式</w:t>
      </w:r>
    </w:p>
    <w:p w:rsidR="007762FD" w:rsidRDefault="0017797E">
      <w:pPr>
        <w:pStyle w:val="a6"/>
        <w:spacing w:before="0" w:after="0" w:line="240" w:lineRule="auto"/>
        <w:ind w:firstLineChars="200" w:firstLine="520"/>
        <w:rPr>
          <w:bCs/>
          <w:spacing w:val="10"/>
          <w:kern w:val="2"/>
        </w:rPr>
      </w:pPr>
      <w:permStart w:id="793274222" w:edGrp="everyone"/>
      <w:r>
        <w:rPr>
          <w:rFonts w:hint="eastAsia"/>
          <w:bCs/>
          <w:spacing w:val="10"/>
          <w:kern w:val="2"/>
        </w:rPr>
        <w:t xml:space="preserve"> </w:t>
      </w:r>
      <w:r>
        <w:rPr>
          <w:rFonts w:hint="eastAsia"/>
          <w:bCs/>
          <w:spacing w:val="10"/>
          <w:kern w:val="2"/>
        </w:rPr>
        <w:t>南京市建邺区奥体大街</w:t>
      </w:r>
      <w:r>
        <w:rPr>
          <w:rFonts w:hint="eastAsia"/>
          <w:bCs/>
          <w:spacing w:val="10"/>
          <w:kern w:val="2"/>
        </w:rPr>
        <w:t>68</w:t>
      </w:r>
      <w:r>
        <w:rPr>
          <w:rFonts w:hint="eastAsia"/>
          <w:bCs/>
          <w:spacing w:val="10"/>
          <w:kern w:val="2"/>
        </w:rPr>
        <w:t>号国际研发总部园</w:t>
      </w:r>
      <w:r>
        <w:rPr>
          <w:rFonts w:hint="eastAsia"/>
          <w:bCs/>
          <w:spacing w:val="10"/>
          <w:kern w:val="2"/>
        </w:rPr>
        <w:t>2</w:t>
      </w:r>
      <w:r>
        <w:rPr>
          <w:rFonts w:hint="eastAsia"/>
          <w:bCs/>
          <w:spacing w:val="10"/>
          <w:kern w:val="2"/>
        </w:rPr>
        <w:t>栋</w:t>
      </w:r>
      <w:r>
        <w:rPr>
          <w:rFonts w:hint="eastAsia"/>
          <w:bCs/>
          <w:spacing w:val="10"/>
          <w:kern w:val="2"/>
        </w:rPr>
        <w:t>13</w:t>
      </w:r>
      <w:r>
        <w:rPr>
          <w:rFonts w:hint="eastAsia"/>
          <w:bCs/>
          <w:spacing w:val="10"/>
          <w:kern w:val="2"/>
        </w:rPr>
        <w:t>、</w:t>
      </w:r>
      <w:r>
        <w:rPr>
          <w:rFonts w:hint="eastAsia"/>
          <w:bCs/>
          <w:spacing w:val="10"/>
          <w:kern w:val="2"/>
        </w:rPr>
        <w:t>14</w:t>
      </w:r>
      <w:r>
        <w:rPr>
          <w:rFonts w:hint="eastAsia"/>
          <w:bCs/>
          <w:spacing w:val="10"/>
          <w:kern w:val="2"/>
        </w:rPr>
        <w:t>楼</w:t>
      </w:r>
    </w:p>
    <w:p w:rsidR="007762FD" w:rsidRDefault="0017797E">
      <w:pPr>
        <w:pStyle w:val="a6"/>
        <w:spacing w:before="0" w:after="0" w:line="240" w:lineRule="auto"/>
        <w:ind w:firstLineChars="250" w:firstLine="650"/>
        <w:rPr>
          <w:bCs/>
          <w:spacing w:val="10"/>
          <w:kern w:val="2"/>
        </w:rPr>
      </w:pPr>
      <w:r>
        <w:rPr>
          <w:rFonts w:hint="eastAsia"/>
          <w:bCs/>
          <w:spacing w:val="10"/>
          <w:kern w:val="2"/>
        </w:rPr>
        <w:t>电话：</w:t>
      </w:r>
      <w:r>
        <w:rPr>
          <w:rFonts w:hint="eastAsia"/>
          <w:bCs/>
          <w:spacing w:val="10"/>
          <w:kern w:val="2"/>
        </w:rPr>
        <w:t xml:space="preserve">025-83642065 </w:t>
      </w:r>
      <w:permEnd w:id="793274222"/>
    </w:p>
    <w:p w:rsidR="007762FD" w:rsidRDefault="0017797E">
      <w:pPr>
        <w:pStyle w:val="a6"/>
        <w:spacing w:before="0" w:after="0" w:line="240" w:lineRule="auto"/>
        <w:ind w:firstLineChars="200" w:firstLine="520"/>
        <w:rPr>
          <w:bCs/>
          <w:spacing w:val="10"/>
          <w:kern w:val="2"/>
        </w:rPr>
      </w:pPr>
      <w:r>
        <w:rPr>
          <w:rFonts w:hint="eastAsia"/>
          <w:bCs/>
          <w:spacing w:val="10"/>
          <w:kern w:val="2"/>
        </w:rPr>
        <w:t>（二）销售机构联系方式</w:t>
      </w:r>
    </w:p>
    <w:p w:rsidR="007762FD" w:rsidRDefault="0017797E">
      <w:pPr>
        <w:pStyle w:val="a6"/>
        <w:spacing w:before="0" w:after="0" w:line="240" w:lineRule="auto"/>
        <w:ind w:firstLineChars="200" w:firstLine="480"/>
        <w:rPr>
          <w:rFonts w:ascii="宋体" w:hAnsi="宋体"/>
          <w:lang w:val="zh-CN"/>
        </w:rPr>
      </w:pPr>
      <w:r>
        <w:rPr>
          <w:rFonts w:ascii="宋体" w:hAnsi="宋体" w:hint="eastAsia"/>
          <w:lang w:val="zh-CN"/>
        </w:rPr>
        <w:t>石嘴山银行（销售机构）</w:t>
      </w:r>
      <w:r>
        <w:rPr>
          <w:rFonts w:ascii="宋体" w:hAnsi="宋体" w:hint="eastAsia"/>
          <w:lang w:val="zh-CN"/>
        </w:rPr>
        <w:t>24</w:t>
      </w:r>
      <w:r>
        <w:rPr>
          <w:rFonts w:ascii="宋体" w:hAnsi="宋体" w:hint="eastAsia"/>
          <w:lang w:val="zh-CN"/>
        </w:rPr>
        <w:t>小时客户服务热线：</w:t>
      </w:r>
      <w:r>
        <w:rPr>
          <w:rFonts w:ascii="宋体" w:hAnsi="宋体" w:hint="eastAsia"/>
        </w:rPr>
        <w:t>0951-</w:t>
      </w:r>
      <w:r>
        <w:rPr>
          <w:rFonts w:ascii="宋体" w:hAnsi="宋体" w:hint="eastAsia"/>
          <w:lang w:val="zh-CN"/>
        </w:rPr>
        <w:t>96789</w:t>
      </w:r>
    </w:p>
    <w:p w:rsidR="007762FD" w:rsidRDefault="0017797E">
      <w:pPr>
        <w:pStyle w:val="a6"/>
        <w:spacing w:before="0" w:after="0" w:line="240" w:lineRule="auto"/>
        <w:ind w:firstLineChars="200" w:firstLine="480"/>
        <w:rPr>
          <w:b/>
          <w:spacing w:val="10"/>
          <w:kern w:val="2"/>
        </w:rPr>
      </w:pPr>
      <w:r>
        <w:rPr>
          <w:rFonts w:ascii="宋体" w:hAnsi="宋体" w:hint="eastAsia"/>
        </w:rPr>
        <w:t>石嘴山银行官网网站：</w:t>
      </w:r>
      <w:hyperlink r:id="rId10" w:history="1">
        <w:r>
          <w:rPr>
            <w:rStyle w:val="a8"/>
            <w:rFonts w:ascii="宋体" w:hAnsi="宋体" w:hint="eastAsia"/>
          </w:rPr>
          <w:t>www.szsccb.com</w:t>
        </w:r>
      </w:hyperlink>
      <w:r>
        <w:rPr>
          <w:rFonts w:ascii="宋体" w:hAnsi="宋体" w:hint="eastAsia"/>
        </w:rPr>
        <w:t>。</w:t>
      </w:r>
    </w:p>
    <w:p w:rsidR="007762FD" w:rsidRDefault="007762FD">
      <w:pPr>
        <w:pStyle w:val="a6"/>
        <w:spacing w:before="0" w:after="0" w:line="240" w:lineRule="auto"/>
        <w:ind w:firstLine="0"/>
        <w:jc w:val="both"/>
        <w:rPr>
          <w:b/>
          <w:spacing w:val="10"/>
          <w:kern w:val="2"/>
          <w:u w:val="single"/>
        </w:rPr>
      </w:pPr>
    </w:p>
    <w:p w:rsidR="007762FD" w:rsidRDefault="0017797E">
      <w:pPr>
        <w:pStyle w:val="a6"/>
        <w:spacing w:before="0" w:after="0" w:line="240" w:lineRule="auto"/>
        <w:ind w:firstLine="0"/>
        <w:jc w:val="center"/>
        <w:rPr>
          <w:b/>
          <w:spacing w:val="10"/>
          <w:kern w:val="2"/>
          <w:u w:val="single"/>
        </w:rPr>
      </w:pPr>
      <w:r>
        <w:rPr>
          <w:rFonts w:hint="eastAsia"/>
          <w:b/>
          <w:spacing w:val="10"/>
          <w:kern w:val="2"/>
          <w:u w:val="single"/>
        </w:rPr>
        <w:t>仔细阅读提示</w:t>
      </w:r>
    </w:p>
    <w:p w:rsidR="007762FD" w:rsidRDefault="0017797E">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2" w:name="_Hlk49171075"/>
      <w:r>
        <w:rPr>
          <w:rFonts w:hint="eastAsia"/>
          <w:b/>
          <w:spacing w:val="10"/>
          <w:sz w:val="24"/>
          <w:szCs w:val="24"/>
          <w:u w:val="single"/>
        </w:rPr>
        <w:t>本理财产品对应的</w:t>
      </w:r>
      <w:bookmarkEnd w:id="32"/>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rsidR="007762FD" w:rsidRDefault="007762FD">
      <w:pPr>
        <w:rPr>
          <w:sz w:val="24"/>
          <w:szCs w:val="24"/>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7762FD">
      <w:pPr>
        <w:pStyle w:val="a3"/>
        <w:ind w:firstLine="440"/>
        <w:rPr>
          <w:sz w:val="22"/>
          <w:szCs w:val="22"/>
        </w:rPr>
      </w:pPr>
    </w:p>
    <w:p w:rsidR="007762FD" w:rsidRDefault="0017797E">
      <w:pPr>
        <w:pStyle w:val="1"/>
        <w:spacing w:line="360" w:lineRule="auto"/>
        <w:jc w:val="center"/>
        <w:rPr>
          <w:rFonts w:ascii="宋体" w:hAnsi="宋体" w:cs="宋体"/>
          <w:sz w:val="24"/>
          <w:szCs w:val="24"/>
        </w:rPr>
      </w:pPr>
      <w:r>
        <w:rPr>
          <w:rFonts w:ascii="宋体" w:hAnsi="宋体" w:cs="FZSSK--GBK1-0" w:hint="eastAsia"/>
          <w:kern w:val="0"/>
          <w:sz w:val="24"/>
          <w:szCs w:val="24"/>
        </w:rPr>
        <w:t>理财产品投资协议书</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7762FD" w:rsidRDefault="0017797E">
      <w:pPr>
        <w:pStyle w:val="1"/>
        <w:spacing w:line="360" w:lineRule="auto"/>
        <w:ind w:firstLine="442"/>
        <w:rPr>
          <w:rFonts w:ascii="宋体" w:hAnsi="宋体" w:cs="宋体"/>
          <w:sz w:val="22"/>
          <w:szCs w:val="24"/>
        </w:rPr>
      </w:pPr>
      <w:r>
        <w:rPr>
          <w:rFonts w:ascii="宋体" w:hAnsi="宋体" w:cs="宋体" w:hint="eastAsia"/>
          <w:sz w:val="22"/>
          <w:szCs w:val="24"/>
        </w:rPr>
        <w:t>一、重要提示</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7762FD" w:rsidRDefault="0017797E">
      <w:pPr>
        <w:pStyle w:val="1"/>
        <w:spacing w:line="360" w:lineRule="auto"/>
        <w:ind w:firstLine="442"/>
        <w:rPr>
          <w:rFonts w:ascii="宋体" w:hAnsi="宋体" w:cs="宋体"/>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rsidR="007762FD" w:rsidRDefault="0017797E">
      <w:pPr>
        <w:pStyle w:val="1"/>
        <w:spacing w:line="360" w:lineRule="auto"/>
        <w:ind w:firstLine="442"/>
        <w:rPr>
          <w:rFonts w:ascii="宋体" w:hAnsi="宋体" w:cs="宋体"/>
          <w:sz w:val="22"/>
          <w:szCs w:val="24"/>
        </w:rPr>
      </w:pPr>
      <w:r>
        <w:rPr>
          <w:rFonts w:ascii="宋体" w:hAnsi="宋体" w:cs="宋体" w:hint="eastAsia"/>
          <w:sz w:val="22"/>
          <w:szCs w:val="24"/>
        </w:rPr>
        <w:t>二、</w:t>
      </w:r>
      <w:r>
        <w:rPr>
          <w:rFonts w:ascii="宋体" w:hAnsi="宋体" w:cs="宋体"/>
          <w:sz w:val="22"/>
          <w:szCs w:val="24"/>
        </w:rPr>
        <w:t>双方权利与义务</w:t>
      </w:r>
    </w:p>
    <w:p w:rsidR="007762FD" w:rsidRDefault="0017797E">
      <w:pPr>
        <w:pStyle w:val="1"/>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8.</w:t>
      </w:r>
      <w:r>
        <w:rPr>
          <w:rFonts w:ascii="宋体" w:hAnsi="宋体" w:cs="宋体" w:hint="eastAsia"/>
          <w:sz w:val="22"/>
          <w:szCs w:val="24"/>
        </w:rPr>
        <w:t>在本理财产品存续期内：</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7762FD" w:rsidRDefault="0017797E">
      <w:pPr>
        <w:pStyle w:val="11"/>
        <w:numPr>
          <w:ilvl w:val="255"/>
          <w:numId w:val="0"/>
        </w:numPr>
        <w:spacing w:line="360" w:lineRule="auto"/>
        <w:ind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（二）乙方的权利与义务</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7762FD" w:rsidRDefault="0017797E">
      <w:pPr>
        <w:pStyle w:val="1"/>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rsidR="007762FD" w:rsidRDefault="0017797E">
      <w:pPr>
        <w:pStyle w:val="1"/>
        <w:spacing w:line="360" w:lineRule="auto"/>
        <w:ind w:firstLine="442"/>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7762FD" w:rsidRDefault="0017797E">
      <w:pPr>
        <w:pStyle w:val="1"/>
        <w:spacing w:line="360" w:lineRule="auto"/>
        <w:ind w:firstLine="442"/>
        <w:rPr>
          <w:rFonts w:ascii="宋体" w:hAnsi="宋体" w:cs="宋体"/>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7762FD" w:rsidRDefault="0017797E">
      <w:pPr>
        <w:pStyle w:val="1"/>
        <w:spacing w:line="360" w:lineRule="auto"/>
        <w:ind w:firstLine="440"/>
        <w:rPr>
          <w:rFonts w:ascii="宋体" w:hAnsi="宋体" w:cs="宋体"/>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7762FD" w:rsidRDefault="0017797E">
      <w:pPr>
        <w:pStyle w:val="1"/>
        <w:spacing w:line="360" w:lineRule="auto"/>
        <w:ind w:firstLine="442"/>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762FD" w:rsidRDefault="0017797E">
      <w:pPr>
        <w:pStyle w:val="1"/>
        <w:spacing w:line="360" w:lineRule="auto"/>
        <w:ind w:firstLine="442"/>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乙方对因购买、持有本理财产品而知悉的甲方及销售机构保密信息承担保密义务，乙方承诺不以任何方式向任何第三方披露甲方或销售机构的保密信息，法律法规另有规定的除外。</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rsidR="007762FD" w:rsidRDefault="0017797E">
      <w:pPr>
        <w:pStyle w:val="1"/>
        <w:spacing w:line="360" w:lineRule="auto"/>
        <w:ind w:firstLine="442"/>
        <w:rPr>
          <w:rFonts w:ascii="宋体" w:hAnsi="宋体" w:cs="宋体"/>
          <w:sz w:val="22"/>
          <w:szCs w:val="24"/>
        </w:rPr>
      </w:pPr>
      <w:r>
        <w:rPr>
          <w:rFonts w:ascii="宋体" w:hAnsi="宋体" w:cs="宋体" w:hint="eastAsia"/>
          <w:sz w:val="22"/>
          <w:szCs w:val="24"/>
        </w:rPr>
        <w:t>三、协议的生效和终止</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rsidR="007762FD" w:rsidRDefault="0017797E">
      <w:pPr>
        <w:pStyle w:val="1"/>
        <w:spacing w:line="360" w:lineRule="auto"/>
        <w:ind w:firstLine="442"/>
        <w:rPr>
          <w:rFonts w:ascii="宋体" w:hAnsi="宋体" w:cs="宋体"/>
          <w:sz w:val="22"/>
          <w:szCs w:val="24"/>
        </w:rPr>
      </w:pPr>
      <w:r>
        <w:rPr>
          <w:rFonts w:ascii="宋体" w:hAnsi="宋体" w:cs="宋体" w:hint="eastAsia"/>
          <w:sz w:val="22"/>
          <w:szCs w:val="24"/>
        </w:rPr>
        <w:t>四、不可抗力及其他免责条款</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7762FD" w:rsidRDefault="0017797E">
      <w:pPr>
        <w:pStyle w:val="1"/>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7762FD" w:rsidRDefault="0017797E">
      <w:pPr>
        <w:pStyle w:val="1"/>
        <w:spacing w:line="360" w:lineRule="auto"/>
        <w:ind w:firstLine="442"/>
        <w:rPr>
          <w:rFonts w:ascii="宋体" w:hAnsi="宋体" w:cs="宋体"/>
          <w:sz w:val="22"/>
          <w:szCs w:val="24"/>
        </w:rPr>
      </w:pPr>
      <w:r>
        <w:rPr>
          <w:rFonts w:ascii="宋体" w:hAnsi="宋体" w:cs="宋体" w:hint="eastAsia"/>
          <w:sz w:val="22"/>
          <w:szCs w:val="24"/>
        </w:rPr>
        <w:t>五、争议解决</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7762FD" w:rsidRDefault="0017797E">
      <w:pPr>
        <w:pStyle w:val="1"/>
        <w:spacing w:line="360" w:lineRule="auto"/>
        <w:ind w:firstLine="442"/>
        <w:rPr>
          <w:rFonts w:ascii="宋体" w:hAnsi="宋体" w:cs="宋体"/>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7762FD" w:rsidRDefault="007762FD">
      <w:pPr>
        <w:pStyle w:val="1"/>
        <w:spacing w:line="360" w:lineRule="auto"/>
        <w:ind w:firstLine="440"/>
        <w:rPr>
          <w:rFonts w:ascii="宋体" w:hAnsi="宋体" w:cs="宋体"/>
          <w:sz w:val="22"/>
          <w:szCs w:val="24"/>
        </w:rPr>
      </w:pPr>
    </w:p>
    <w:p w:rsidR="007762FD" w:rsidRDefault="0017797E">
      <w:pPr>
        <w:pStyle w:val="1"/>
        <w:spacing w:line="360" w:lineRule="auto"/>
        <w:ind w:firstLine="442"/>
        <w:rPr>
          <w:rFonts w:ascii="宋体" w:hAnsi="宋体" w:cs="宋体"/>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请投资者在购买本理财产品前认真阅读以上条款，尤其是加粗的条款。如果投资者不同意本协议的任何内容，或者无法准确理解相关条款的解释，请不要进行后续操作。</w:t>
      </w:r>
    </w:p>
    <w:p w:rsidR="007762FD" w:rsidRDefault="0017797E">
      <w:pPr>
        <w:pStyle w:val="1"/>
        <w:spacing w:line="360" w:lineRule="auto"/>
        <w:ind w:firstLine="440"/>
        <w:rPr>
          <w:rFonts w:ascii="宋体" w:hAnsi="宋体" w:cs="宋体"/>
          <w:sz w:val="22"/>
          <w:szCs w:val="24"/>
        </w:rPr>
      </w:pPr>
      <w:r>
        <w:rPr>
          <w:rFonts w:ascii="宋体" w:hAnsi="宋体" w:cs="宋体" w:hint="eastAsia"/>
          <w:sz w:val="22"/>
          <w:szCs w:val="24"/>
        </w:rPr>
        <w:t>（以下无正文）</w:t>
      </w:r>
    </w:p>
    <w:p w:rsidR="007762FD" w:rsidRDefault="007762FD">
      <w:pPr>
        <w:pStyle w:val="1"/>
        <w:spacing w:line="360" w:lineRule="auto"/>
        <w:ind w:firstLine="440"/>
        <w:rPr>
          <w:rFonts w:ascii="宋体" w:hAnsi="宋体" w:cs="宋体"/>
          <w:sz w:val="22"/>
          <w:szCs w:val="24"/>
        </w:rPr>
      </w:pPr>
    </w:p>
    <w:p w:rsidR="007762FD" w:rsidRDefault="0017797E">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rsidR="007762FD" w:rsidRDefault="007762FD">
      <w:pPr>
        <w:spacing w:line="240" w:lineRule="exact"/>
        <w:rPr>
          <w:sz w:val="22"/>
        </w:rPr>
      </w:pPr>
    </w:p>
    <w:p w:rsidR="007762FD" w:rsidRDefault="007762FD">
      <w:pPr>
        <w:widowControl/>
        <w:jc w:val="left"/>
      </w:pPr>
    </w:p>
    <w:p w:rsidR="007762FD" w:rsidRDefault="007762FD"/>
    <w:p w:rsidR="007762FD" w:rsidRDefault="007762FD">
      <w:pPr>
        <w:pStyle w:val="a3"/>
        <w:ind w:firstLine="440"/>
        <w:rPr>
          <w:sz w:val="22"/>
          <w:szCs w:val="22"/>
        </w:rPr>
      </w:pPr>
    </w:p>
    <w:p>
      <w:r>
        <w:br w:type="page"/>
      </w:r>
    </w:p>
    <w:sectPr w:rsidR="00BD0B97">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115A" w:rsidRDefault="0077115A">
      <w:r>
        <w:separator/>
      </w:r>
    </w:p>
  </w:endnote>
  <w:endnote w:type="continuationSeparator" w:id="0">
    <w:p w:rsidR="0077115A" w:rsidRDefault="0077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115A" w:rsidRDefault="0077115A">
      <w:r>
        <w:separator/>
      </w:r>
    </w:p>
  </w:footnote>
  <w:footnote w:type="continuationSeparator" w:id="0">
    <w:p w:rsidR="0077115A" w:rsidRDefault="00771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0B97" w:rsidRDefault="0077115A">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2574C"/>
    <w:multiLevelType w:val="multilevel"/>
    <w:tmpl w:val="A33849B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1C4A72F5"/>
    <w:multiLevelType w:val="hybridMultilevel"/>
    <w:tmpl w:val="D298959C"/>
    <w:lvl w:ilvl="0" w:tplc="F138A3D6">
      <w:start w:val="1"/>
      <w:numFmt w:val="decimal"/>
      <w:lvlRestart w:val="0"/>
      <w:lvlText w:val="%1."/>
      <w:lvlJc w:val="left"/>
      <w:pPr>
        <w:tabs>
          <w:tab w:val="num" w:pos="0"/>
        </w:tabs>
        <w:ind w:left="660" w:hanging="360"/>
      </w:pPr>
      <w:rPr>
        <w:rFonts w:ascii="方正黑体_GBK" w:eastAsia="方正黑体_GBK" w:hAnsi="方正黑体_GBK" w:hint="default"/>
      </w:rPr>
    </w:lvl>
    <w:lvl w:ilvl="1" w:tplc="B43C0096">
      <w:start w:val="1"/>
      <w:numFmt w:val="lowerLetter"/>
      <w:lvlText w:val="%2)"/>
      <w:lvlJc w:val="left"/>
      <w:pPr>
        <w:tabs>
          <w:tab w:val="num" w:pos="0"/>
        </w:tabs>
        <w:ind w:left="1140" w:hanging="420"/>
      </w:pPr>
      <w:rPr>
        <w:rFonts w:ascii="方正黑体_GBK" w:eastAsia="方正黑体_GBK" w:hAnsi="方正黑体_GBK" w:hint="default"/>
      </w:rPr>
    </w:lvl>
    <w:lvl w:ilvl="2" w:tplc="DB3AF7EE">
      <w:start w:val="1"/>
      <w:numFmt w:val="decimal"/>
      <w:lvlText w:val="%3."/>
      <w:lvlJc w:val="right"/>
      <w:pPr>
        <w:tabs>
          <w:tab w:val="num" w:pos="0"/>
        </w:tabs>
        <w:ind w:left="1560" w:hanging="420"/>
      </w:pPr>
      <w:rPr>
        <w:rFonts w:ascii="方正黑体_GBK" w:eastAsia="方正黑体_GBK" w:hAnsi="方正黑体_GBK" w:hint="default"/>
      </w:rPr>
    </w:lvl>
    <w:lvl w:ilvl="3" w:tplc="09D6A092">
      <w:start w:val="1"/>
      <w:numFmt w:val="decimal"/>
      <w:lvlText w:val="%4."/>
      <w:lvlJc w:val="left"/>
      <w:pPr>
        <w:tabs>
          <w:tab w:val="num" w:pos="0"/>
        </w:tabs>
        <w:ind w:left="1980" w:hanging="420"/>
      </w:pPr>
      <w:rPr>
        <w:rFonts w:ascii="方正黑体_GBK" w:eastAsia="方正黑体_GBK" w:hAnsi="方正黑体_GBK" w:hint="default"/>
      </w:rPr>
    </w:lvl>
    <w:lvl w:ilvl="4" w:tplc="83806F34">
      <w:start w:val="1"/>
      <w:numFmt w:val="lowerLetter"/>
      <w:lvlText w:val="%5)"/>
      <w:lvlJc w:val="left"/>
      <w:pPr>
        <w:tabs>
          <w:tab w:val="num" w:pos="0"/>
        </w:tabs>
        <w:ind w:left="2400" w:hanging="420"/>
      </w:pPr>
      <w:rPr>
        <w:rFonts w:ascii="方正黑体_GBK" w:eastAsia="方正黑体_GBK" w:hAnsi="方正黑体_GBK" w:hint="default"/>
      </w:rPr>
    </w:lvl>
    <w:lvl w:ilvl="5" w:tplc="7B0CE5BE">
      <w:start w:val="1"/>
      <w:numFmt w:val="decimal"/>
      <w:lvlText w:val="%6."/>
      <w:lvlJc w:val="right"/>
      <w:pPr>
        <w:tabs>
          <w:tab w:val="num" w:pos="0"/>
        </w:tabs>
        <w:ind w:left="2820" w:hanging="420"/>
      </w:pPr>
      <w:rPr>
        <w:rFonts w:ascii="方正黑体_GBK" w:eastAsia="方正黑体_GBK" w:hAnsi="方正黑体_GBK" w:hint="default"/>
      </w:rPr>
    </w:lvl>
    <w:lvl w:ilvl="6" w:tplc="44B44296">
      <w:start w:val="1"/>
      <w:numFmt w:val="decimal"/>
      <w:lvlText w:val="%7."/>
      <w:lvlJc w:val="left"/>
      <w:pPr>
        <w:tabs>
          <w:tab w:val="num" w:pos="0"/>
        </w:tabs>
        <w:ind w:left="3240" w:hanging="420"/>
      </w:pPr>
      <w:rPr>
        <w:rFonts w:ascii="方正黑体_GBK" w:eastAsia="方正黑体_GBK" w:hAnsi="方正黑体_GBK" w:hint="default"/>
      </w:rPr>
    </w:lvl>
    <w:lvl w:ilvl="7" w:tplc="EE7A55E8">
      <w:start w:val="1"/>
      <w:numFmt w:val="lowerLetter"/>
      <w:lvlText w:val="%8)"/>
      <w:lvlJc w:val="left"/>
      <w:pPr>
        <w:tabs>
          <w:tab w:val="num" w:pos="0"/>
        </w:tabs>
        <w:ind w:left="3660" w:hanging="420"/>
      </w:pPr>
      <w:rPr>
        <w:rFonts w:ascii="方正黑体_GBK" w:eastAsia="方正黑体_GBK" w:hAnsi="方正黑体_GBK" w:hint="default"/>
      </w:rPr>
    </w:lvl>
    <w:lvl w:ilvl="8" w:tplc="1E3EAADC">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294A3DA4"/>
    <w:multiLevelType w:val="hybridMultilevel"/>
    <w:tmpl w:val="F17E03A4"/>
    <w:lvl w:ilvl="0" w:tplc="E9B46168">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282877E">
      <w:start w:val="1"/>
      <w:numFmt w:val="lowerLetter"/>
      <w:lvlText w:val="%2)"/>
      <w:lvlJc w:val="left"/>
      <w:pPr>
        <w:tabs>
          <w:tab w:val="num" w:pos="0"/>
        </w:tabs>
        <w:ind w:left="1141" w:hanging="420"/>
      </w:pPr>
      <w:rPr>
        <w:rFonts w:ascii="方正黑体_GBK" w:eastAsia="方正黑体_GBK" w:hAnsi="方正黑体_GBK" w:hint="default"/>
      </w:rPr>
    </w:lvl>
    <w:lvl w:ilvl="2" w:tplc="7A6AAE02">
      <w:start w:val="1"/>
      <w:numFmt w:val="decimal"/>
      <w:lvlText w:val="%3."/>
      <w:lvlJc w:val="right"/>
      <w:pPr>
        <w:tabs>
          <w:tab w:val="num" w:pos="0"/>
        </w:tabs>
        <w:ind w:left="1561" w:hanging="420"/>
      </w:pPr>
      <w:rPr>
        <w:rFonts w:ascii="方正黑体_GBK" w:eastAsia="方正黑体_GBK" w:hAnsi="方正黑体_GBK" w:hint="default"/>
      </w:rPr>
    </w:lvl>
    <w:lvl w:ilvl="3" w:tplc="3134FD6C">
      <w:start w:val="1"/>
      <w:numFmt w:val="decimal"/>
      <w:lvlText w:val="%4."/>
      <w:lvlJc w:val="left"/>
      <w:pPr>
        <w:tabs>
          <w:tab w:val="num" w:pos="0"/>
        </w:tabs>
        <w:ind w:left="1981" w:hanging="420"/>
      </w:pPr>
      <w:rPr>
        <w:rFonts w:ascii="方正黑体_GBK" w:eastAsia="方正黑体_GBK" w:hAnsi="方正黑体_GBK" w:hint="default"/>
      </w:rPr>
    </w:lvl>
    <w:lvl w:ilvl="4" w:tplc="BA805956">
      <w:start w:val="1"/>
      <w:numFmt w:val="lowerLetter"/>
      <w:lvlText w:val="%5)"/>
      <w:lvlJc w:val="left"/>
      <w:pPr>
        <w:tabs>
          <w:tab w:val="num" w:pos="0"/>
        </w:tabs>
        <w:ind w:left="2401" w:hanging="420"/>
      </w:pPr>
      <w:rPr>
        <w:rFonts w:ascii="方正黑体_GBK" w:eastAsia="方正黑体_GBK" w:hAnsi="方正黑体_GBK" w:hint="default"/>
      </w:rPr>
    </w:lvl>
    <w:lvl w:ilvl="5" w:tplc="A6DE38F2">
      <w:start w:val="1"/>
      <w:numFmt w:val="decimal"/>
      <w:lvlText w:val="%6."/>
      <w:lvlJc w:val="right"/>
      <w:pPr>
        <w:tabs>
          <w:tab w:val="num" w:pos="0"/>
        </w:tabs>
        <w:ind w:left="2821" w:hanging="420"/>
      </w:pPr>
      <w:rPr>
        <w:rFonts w:ascii="方正黑体_GBK" w:eastAsia="方正黑体_GBK" w:hAnsi="方正黑体_GBK" w:hint="default"/>
      </w:rPr>
    </w:lvl>
    <w:lvl w:ilvl="6" w:tplc="EFC2AF40">
      <w:start w:val="1"/>
      <w:numFmt w:val="decimal"/>
      <w:lvlText w:val="%7."/>
      <w:lvlJc w:val="left"/>
      <w:pPr>
        <w:tabs>
          <w:tab w:val="num" w:pos="0"/>
        </w:tabs>
        <w:ind w:left="3241" w:hanging="420"/>
      </w:pPr>
      <w:rPr>
        <w:rFonts w:ascii="方正黑体_GBK" w:eastAsia="方正黑体_GBK" w:hAnsi="方正黑体_GBK" w:hint="default"/>
      </w:rPr>
    </w:lvl>
    <w:lvl w:ilvl="7" w:tplc="B108F234">
      <w:start w:val="1"/>
      <w:numFmt w:val="lowerLetter"/>
      <w:lvlText w:val="%8)"/>
      <w:lvlJc w:val="left"/>
      <w:pPr>
        <w:tabs>
          <w:tab w:val="num" w:pos="0"/>
        </w:tabs>
        <w:ind w:left="3661" w:hanging="420"/>
      </w:pPr>
      <w:rPr>
        <w:rFonts w:ascii="方正黑体_GBK" w:eastAsia="方正黑体_GBK" w:hAnsi="方正黑体_GBK" w:hint="default"/>
      </w:rPr>
    </w:lvl>
    <w:lvl w:ilvl="8" w:tplc="439AD6C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15:restartNumberingAfterBreak="0">
    <w:nsid w:val="30E860A3"/>
    <w:multiLevelType w:val="multilevel"/>
    <w:tmpl w:val="34AAC9A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15:restartNumberingAfterBreak="0">
    <w:nsid w:val="006257E1"/>
    <w:multiLevelType w:val="singleLevel"/>
    <w:tmpl w:val="05DA5C12"/>
    <w:lvl w:ilvl="0">
      <w:start w:val="1"/>
      <w:numFmt w:val="decimal"/>
      <w:suff w:val="nothing"/>
      <w:lvlText w:val="%1."/>
      <w:lvlJc w:val="left"/>
    </w:lvl>
  </w:abstractNum>
  <w:abstractNum w:abstractNumId="5" w15:restartNumberingAfterBreak="0">
    <w:nsid w:val="04B14715"/>
    <w:multiLevelType w:val="singleLevel"/>
    <w:tmpl w:val="014409BF"/>
    <w:lvl w:ilvl="0">
      <w:start w:val="1"/>
      <w:numFmt w:val="decimal"/>
      <w:suff w:val="nothing"/>
      <w:lvlText w:val="（%1）"/>
      <w:lvlJc w:val="left"/>
    </w:lvl>
  </w:abstractNum>
  <w:abstractNum w:abstractNumId="6" w15:restartNumberingAfterBreak="0">
    <w:nsid w:val="03A23FC5"/>
    <w:multiLevelType w:val="singleLevel"/>
    <w:tmpl w:val="02519EC2"/>
    <w:lvl w:ilvl="0">
      <w:start w:val="1"/>
      <w:numFmt w:val="decimal"/>
      <w:suff w:val="nothing"/>
      <w:lvlText w:val="（%1）"/>
      <w:lvlJc w:val="left"/>
    </w:lvl>
  </w:abstractNum>
  <w:abstractNum w:abstractNumId="7" w15:restartNumberingAfterBreak="0">
    <w:nsid w:val="0235676F"/>
    <w:multiLevelType w:val="singleLevel"/>
    <w:tmpl w:val="022BB7FB"/>
    <w:lvl w:ilvl="0">
      <w:start w:val="1"/>
      <w:numFmt w:val="decimal"/>
      <w:suff w:val="nothing"/>
      <w:lvlText w:val="（%1）"/>
      <w:lvlJc w:val="left"/>
    </w:lvl>
  </w:abstractNum>
  <w:abstractNum w:abstractNumId="8" w15:restartNumberingAfterBreak="0">
    <w:nsid w:val="036FFE82"/>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2D114E2"/>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5E3D4C7"/>
    <w:multiLevelType w:val="singleLevel"/>
    <w:tmpl w:val="04FF9615"/>
    <w:lvl w:ilvl="0">
      <w:start w:val="1"/>
      <w:numFmt w:val="decimal"/>
      <w:suff w:val="nothing"/>
      <w:lvlText w:val="（%1）"/>
      <w:lvlJc w:val="left"/>
    </w:lvl>
  </w:abstractNum>
  <w:abstractNum w:abstractNumId="11" w15:restartNumberingAfterBreak="0">
    <w:nsid w:val="01F8CD2A"/>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0BEFE29"/>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2C1D529"/>
    <w:multiLevelType w:val="singleLevel"/>
    <w:tmpl w:val="02B79C19"/>
    <w:lvl w:ilvl="0">
      <w:start w:val="1"/>
      <w:numFmt w:val="decimal"/>
      <w:suff w:val="nothing"/>
      <w:lvlText w:val="（%1）"/>
      <w:lvlJc w:val="left"/>
    </w:lvl>
  </w:abstractNum>
  <w:num w:numId="1" w16cid:durableId="306473270">
    <w:abstractNumId w:val="0"/>
  </w:num>
  <w:num w:numId="2" w16cid:durableId="287978962">
    <w:abstractNumId w:val="3"/>
  </w:num>
  <w:num w:numId="3" w16cid:durableId="2027712262">
    <w:abstractNumId w:val="2"/>
  </w:num>
  <w:num w:numId="5" w16cid:durableId="980229307">
    <w:abstractNumId w:val="4"/>
  </w:num>
  <w:num w:numId="6" w16cid:durableId="447045365">
    <w:abstractNumId w:val="5"/>
  </w:num>
  <w:num w:numId="7" w16cid:durableId="1956255888">
    <w:abstractNumId w:val="6"/>
  </w:num>
  <w:num w:numId="8" w16cid:durableId="369065203">
    <w:abstractNumId w:val="6"/>
    <w:lvlOverride w:ilvl="0">
      <w:startOverride w:val="1"/>
    </w:lvlOverride>
  </w:num>
  <w:num w:numId="9" w16cid:durableId="96293413">
    <w:abstractNumId w:val="7"/>
  </w:num>
  <w:num w:numId="10" w16cid:durableId="1899704301">
    <w:abstractNumId w:val="8"/>
    <w:lvlOverride w:ilvl="0">
      <w:startOverride w:val="1"/>
    </w:lvlOverride>
  </w:num>
  <w:num w:numId="11" w16cid:durableId="1899704301">
    <w:abstractNumId w:val="8"/>
    <w:lvlOverride w:ilvl="0">
      <w:startOverride w:val="1"/>
    </w:lvlOverride>
    <w:lvlOverride w:ilvl="0">
      <w:startOverride w:val="1"/>
    </w:lvlOverride>
  </w:num>
  <w:num w:numId="12" w16cid:durableId="761607087">
    <w:abstractNumId w:val="9"/>
  </w:num>
  <w:num w:numId="13" w16cid:durableId="841626814">
    <w:abstractNumId w:val="10"/>
  </w:num>
  <w:num w:numId="14" w16cid:durableId="512188807">
    <w:abstractNumId w:val="11"/>
  </w:num>
  <w:num w:numId="15" w16cid:durableId="1598631875">
    <w:abstractNumId w:val="12"/>
  </w:num>
  <w:num w:numId="16" w16cid:durableId="118914175">
    <w:abstractNumId w:val="13"/>
  </w:num>
  <w:num w:numId="4" w16cid:durableId="1095634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BD0B97"/>
    <w:rsid w:val="0077115A"/>
    <w:rsid w:val="00BD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F423E45-D9B7-4EE8-921C-CE8DB38D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方正黑体_GBK" w:eastAsia="方正黑体_GBK" w:hAnsi="方正黑体_GBK" w:cs="Times New Roman"/>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76404a03">
    <w:name w:val="Normal76404a03"/>
    <w:pPr>
      <w:widowControl w:val="0"/>
      <w:jc w:val="both"/>
    </w:pPr>
    <w:rPr>
      <w:rFonts w:ascii="方正黑体_GBK" w:eastAsia="方正黑体_GBK" w:hAnsi="方正黑体_GBK" w:cs="Times New Roman"/>
      <w:szCs w:val="21"/>
    </w:rPr>
  </w:style>
  <w:style w:type="paragraph" w:customStyle="1" w:styleId="heading17399873c">
    <w:name w:val="heading 17399873c"/>
    <w:basedOn w:val="Normal76404a03"/>
    <w:next w:val="a"/>
    <w:pPr>
      <w:keepNext/>
      <w:keepLines/>
      <w:spacing w:before="340" w:after="330" w:line="578" w:lineRule="auto"/>
      <w:outlineLvl w:val="0"/>
    </w:pPr>
    <w:rPr>
      <w:b/>
      <w:bCs/>
      <w:kern w:val="44"/>
      <w:sz w:val="44"/>
    </w:rPr>
  </w:style>
  <w:style w:type="paragraph" w:customStyle="1" w:styleId="heading2e63a6b2e">
    <w:name w:val="heading 2e63a6b2e"/>
    <w:basedOn w:val="Normal76404a03"/>
    <w:next w:val="a"/>
    <w:pPr>
      <w:keepNext/>
      <w:keepLines/>
      <w:spacing w:before="260" w:after="260" w:line="415" w:lineRule="auto"/>
      <w:outlineLvl w:val="1"/>
    </w:pPr>
    <w:rPr>
      <w:b/>
      <w:sz w:val="32"/>
    </w:rPr>
  </w:style>
  <w:style w:type="paragraph" w:customStyle="1" w:styleId="heading3c26b0c57">
    <w:name w:val="heading 3c26b0c57"/>
    <w:basedOn w:val="Normal76404a03"/>
    <w:next w:val="a"/>
    <w:pPr>
      <w:keepNext/>
      <w:keepLines/>
      <w:spacing w:before="260" w:after="260" w:line="415" w:lineRule="auto"/>
      <w:outlineLvl w:val="2"/>
    </w:pPr>
    <w:rPr>
      <w:b/>
      <w:sz w:val="32"/>
    </w:rPr>
  </w:style>
  <w:style w:type="character" w:customStyle="1" w:styleId="DefaultParagraphFontb0abcd04">
    <w:name w:val="Default Paragraph Fontb0abcd04"/>
  </w:style>
  <w:style w:type="paragraph" w:customStyle="1" w:styleId="toc1d11db948">
    <w:name w:val="toc 1d11db948"/>
    <w:basedOn w:val="Normal76404a03"/>
    <w:next w:val="a"/>
    <w:autoRedefine/>
  </w:style>
  <w:style w:type="paragraph" w:customStyle="1" w:styleId="toc22f09c9ec">
    <w:name w:val="toc 22f09c9ec"/>
    <w:basedOn w:val="Normal76404a03"/>
    <w:next w:val="a"/>
    <w:autoRedefine/>
    <w:pPr>
      <w:ind w:left="420"/>
    </w:pPr>
  </w:style>
  <w:style w:type="paragraph" w:customStyle="1" w:styleId="toc3e4a5be6a">
    <w:name w:val="toc 3e4a5be6a"/>
    <w:basedOn w:val="Normal76404a03"/>
    <w:next w:val="a"/>
    <w:autoRedefine/>
    <w:pPr>
      <w:ind w:left="840"/>
    </w:pPr>
  </w:style>
  <w:style w:type="paragraph" w:customStyle="1" w:styleId="toc4dfdabe04">
    <w:name w:val="toc 4dfdabe04"/>
    <w:basedOn w:val="Normal76404a03"/>
    <w:next w:val="a"/>
    <w:autoRedefine/>
    <w:pPr>
      <w:ind w:left="1260"/>
    </w:pPr>
  </w:style>
  <w:style w:type="paragraph" w:customStyle="1" w:styleId="toc5e867644e">
    <w:name w:val="toc 5e867644e"/>
    <w:basedOn w:val="Normal76404a03"/>
    <w:next w:val="a"/>
    <w:autoRedefine/>
    <w:pPr>
      <w:ind w:left="1680"/>
    </w:pPr>
  </w:style>
  <w:style w:type="paragraph" w:customStyle="1" w:styleId="header73af7241">
    <w:name w:val="header73af7241"/>
    <w:basedOn w:val="Normal76404a03"/>
    <w:pPr>
      <w:pBdr>
        <w:bottom w:val="single" w:sz="6" w:space="1" w:color="auto"/>
      </w:pBdr>
      <w:tabs>
        <w:tab w:val="center" w:pos="4153"/>
        <w:tab w:val="right" w:pos="8307"/>
      </w:tabs>
      <w:snapToGrid w:val="0"/>
      <w:jc w:val="center"/>
    </w:pPr>
    <w:rPr>
      <w:sz w:val="18"/>
    </w:rPr>
  </w:style>
  <w:style w:type="paragraph" w:customStyle="1" w:styleId="footer2c466106">
    <w:name w:val="footer2c466106"/>
    <w:basedOn w:val="Normal76404a03"/>
    <w:pPr>
      <w:tabs>
        <w:tab w:val="center" w:pos="4153"/>
        <w:tab w:val="right" w:pos="8307"/>
      </w:tabs>
      <w:snapToGrid w:val="0"/>
      <w:jc w:val="left"/>
    </w:pPr>
    <w:rPr>
      <w:sz w:val="18"/>
    </w:rPr>
  </w:style>
  <w:style w:type="character" w:customStyle="1" w:styleId="Strong8fc84da1">
    <w:name w:val="Strong8fc84da1"/>
    <w:rPr>
      <w:b/>
    </w:rPr>
  </w:style>
  <w:style w:type="paragraph" w:customStyle="1" w:styleId="annotationtext23">
    <w:name w:val="annotation text23"/>
    <w:next w:val="TOC1"/>
    <w:pPr>
      <w:widowControl w:val="0"/>
    </w:pPr>
    <w:rPr>
      <w:rFonts w:ascii="方正黑体_GBK" w:eastAsia="方正黑体_GBK" w:hAnsi="方正黑体_GBK" w:cs="Times New Roman"/>
      <w:szCs w:val="21"/>
    </w:rPr>
  </w:style>
  <w:style w:type="paragraph" w:customStyle="1" w:styleId="Normal107b2f2a">
    <w:name w:val="Normal107b2f2a"/>
    <w:next w:val="TOC1"/>
    <w:pPr>
      <w:widowControl w:val="0"/>
      <w:jc w:val="both"/>
    </w:pPr>
    <w:rPr>
      <w:rFonts w:ascii="方正黑体_GBK" w:eastAsia="方正黑体_GBK" w:hAnsi="方正黑体_GBK" w:cs="Times New Roman"/>
      <w:sz w:val="18"/>
      <w:szCs w:val="18"/>
    </w:rPr>
  </w:style>
  <w:style w:type="paragraph" w:customStyle="1" w:styleId="heading1d08a75f5">
    <w:name w:val="heading 1d08a75f5"/>
    <w:basedOn w:val="Normal107b2f2a"/>
    <w:next w:val="a"/>
    <w:pPr>
      <w:keepNext/>
      <w:keepLines/>
      <w:spacing w:before="340" w:after="330" w:line="578" w:lineRule="auto"/>
      <w:outlineLvl w:val="0"/>
    </w:pPr>
    <w:rPr>
      <w:b/>
      <w:bCs/>
      <w:kern w:val="44"/>
      <w:sz w:val="44"/>
    </w:rPr>
  </w:style>
  <w:style w:type="paragraph" w:customStyle="1" w:styleId="heading2eb909cef">
    <w:name w:val="heading 2eb909cef"/>
    <w:basedOn w:val="Normal107b2f2a"/>
    <w:next w:val="a"/>
    <w:pPr>
      <w:keepNext/>
      <w:keepLines/>
      <w:spacing w:before="260" w:after="260" w:line="415" w:lineRule="auto"/>
      <w:outlineLvl w:val="1"/>
    </w:pPr>
    <w:rPr>
      <w:b/>
      <w:sz w:val="32"/>
    </w:rPr>
  </w:style>
  <w:style w:type="paragraph" w:customStyle="1" w:styleId="heading313c735b5">
    <w:name w:val="heading 313c735b5"/>
    <w:basedOn w:val="Normal107b2f2a"/>
    <w:next w:val="a"/>
    <w:pPr>
      <w:keepNext/>
      <w:keepLines/>
      <w:spacing w:before="260" w:after="260" w:line="415" w:lineRule="auto"/>
      <w:outlineLvl w:val="2"/>
    </w:pPr>
    <w:rPr>
      <w:b/>
      <w:sz w:val="32"/>
    </w:rPr>
  </w:style>
  <w:style w:type="character" w:customStyle="1" w:styleId="DefaultParagraphFont190ed8ad">
    <w:name w:val="Default Paragraph Font190ed8ad"/>
  </w:style>
  <w:style w:type="paragraph" w:customStyle="1" w:styleId="NormalIndent21ce73de">
    <w:name w:val="Normal Indent21ce73de"/>
    <w:basedOn w:val="Normal107b2f2a"/>
    <w:pPr>
      <w:ind w:firstLineChars="200" w:firstLine="200"/>
    </w:pPr>
  </w:style>
  <w:style w:type="paragraph" w:customStyle="1" w:styleId="toc5d31fa073">
    <w:name w:val="toc 5d31fa073"/>
    <w:basedOn w:val="Normal107b2f2a"/>
    <w:next w:val="a"/>
    <w:pPr>
      <w:ind w:left="1680"/>
    </w:pPr>
  </w:style>
  <w:style w:type="paragraph" w:customStyle="1" w:styleId="toc34247a2af">
    <w:name w:val="toc 34247a2af"/>
    <w:basedOn w:val="Normal107b2f2a"/>
    <w:next w:val="a"/>
    <w:pPr>
      <w:ind w:left="840"/>
    </w:pPr>
  </w:style>
  <w:style w:type="paragraph" w:customStyle="1" w:styleId="footer46c18345">
    <w:name w:val="footer46c18345"/>
    <w:basedOn w:val="Normal107b2f2a"/>
    <w:pPr>
      <w:tabs>
        <w:tab w:val="center" w:pos="4153"/>
        <w:tab w:val="right" w:pos="8307"/>
      </w:tabs>
      <w:snapToGrid w:val="0"/>
      <w:jc w:val="left"/>
    </w:pPr>
  </w:style>
  <w:style w:type="paragraph" w:customStyle="1" w:styleId="header2399bd87">
    <w:name w:val="header2399bd87"/>
    <w:basedOn w:val="Normal107b2f2a"/>
    <w:pPr>
      <w:pBdr>
        <w:bottom w:val="single" w:sz="6" w:space="1" w:color="auto"/>
      </w:pBdr>
      <w:tabs>
        <w:tab w:val="center" w:pos="4153"/>
        <w:tab w:val="right" w:pos="8307"/>
      </w:tabs>
      <w:snapToGrid w:val="0"/>
      <w:jc w:val="center"/>
    </w:pPr>
  </w:style>
  <w:style w:type="paragraph" w:customStyle="1" w:styleId="toc15f6f266c">
    <w:name w:val="toc 15f6f266c"/>
    <w:basedOn w:val="Normal107b2f2a"/>
    <w:next w:val="a"/>
  </w:style>
  <w:style w:type="paragraph" w:customStyle="1" w:styleId="toc456eecd65">
    <w:name w:val="toc 456eecd65"/>
    <w:basedOn w:val="Normal107b2f2a"/>
    <w:next w:val="a"/>
    <w:pPr>
      <w:ind w:left="1260"/>
    </w:pPr>
  </w:style>
  <w:style w:type="paragraph" w:customStyle="1" w:styleId="toc2640ba4ac">
    <w:name w:val="toc 2640ba4ac"/>
    <w:basedOn w:val="Normal107b2f2a"/>
    <w:next w:val="a"/>
    <w:pPr>
      <w:ind w:left="420"/>
    </w:pPr>
  </w:style>
  <w:style w:type="paragraph" w:customStyle="1" w:styleId="NormalWebc2a844b1">
    <w:name w:val="Normal (Web)c2a844b1"/>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0e67934d0e67934d">
    <w:name w:val="Normal0e67934d0e67934d"/>
    <w:next w:val="TOC1"/>
    <w:pPr>
      <w:widowControl w:val="0"/>
      <w:jc w:val="both"/>
    </w:pPr>
    <w:rPr>
      <w:rFonts w:ascii="方正黑体_GBK" w:eastAsia="方正黑体_GBK" w:hAnsi="方正黑体_GBK" w:cs="Times New Roman"/>
      <w:szCs w:val="21"/>
    </w:rPr>
  </w:style>
  <w:style w:type="paragraph" w:customStyle="1" w:styleId="heading15e8371c85e8371c8">
    <w:name w:val="heading 15e8371c85e8371c8"/>
    <w:basedOn w:val="Normal0e67934d0e67934d"/>
    <w:next w:val="a"/>
    <w:pPr>
      <w:keepNext/>
      <w:keepLines/>
      <w:spacing w:before="340" w:after="330" w:line="578" w:lineRule="auto"/>
      <w:outlineLvl w:val="0"/>
    </w:pPr>
    <w:rPr>
      <w:b/>
      <w:bCs/>
      <w:kern w:val="44"/>
      <w:sz w:val="44"/>
    </w:rPr>
  </w:style>
  <w:style w:type="paragraph" w:customStyle="1" w:styleId="heading28422dbfd8422dbfd">
    <w:name w:val="heading 28422dbfd8422dbfd"/>
    <w:basedOn w:val="Normal0e67934d0e67934d"/>
    <w:next w:val="a"/>
    <w:pPr>
      <w:keepNext/>
      <w:keepLines/>
      <w:spacing w:before="260" w:after="260" w:line="415" w:lineRule="auto"/>
      <w:outlineLvl w:val="1"/>
    </w:pPr>
    <w:rPr>
      <w:b/>
      <w:sz w:val="32"/>
    </w:rPr>
  </w:style>
  <w:style w:type="paragraph" w:customStyle="1" w:styleId="heading33513780a3513780a">
    <w:name w:val="heading 33513780a3513780a"/>
    <w:basedOn w:val="Normal0e67934d0e67934d"/>
    <w:next w:val="a"/>
    <w:pPr>
      <w:keepNext/>
      <w:keepLines/>
      <w:spacing w:before="260" w:after="260" w:line="415" w:lineRule="auto"/>
      <w:outlineLvl w:val="2"/>
    </w:pPr>
    <w:rPr>
      <w:b/>
      <w:sz w:val="32"/>
    </w:rPr>
  </w:style>
  <w:style w:type="character" w:customStyle="1" w:styleId="DefaultParagraphFontba73ee91ba73ee91">
    <w:name w:val="Default Paragraph Fontba73ee91ba73ee91"/>
  </w:style>
  <w:style w:type="paragraph" w:customStyle="1" w:styleId="1d091df2ed091df2e">
    <w:name w:val="引文目录1d091df2ed091df2e"/>
    <w:basedOn w:val="Normal0e67934d0e67934d"/>
    <w:next w:val="a"/>
    <w:pPr>
      <w:ind w:leftChars="200" w:left="200"/>
    </w:pPr>
  </w:style>
  <w:style w:type="paragraph" w:customStyle="1" w:styleId="toc567ca271767ca2717">
    <w:name w:val="toc 567ca271767ca2717"/>
    <w:basedOn w:val="Normal0e67934d0e67934d"/>
    <w:next w:val="a"/>
    <w:pPr>
      <w:ind w:left="1680"/>
    </w:pPr>
  </w:style>
  <w:style w:type="paragraph" w:customStyle="1" w:styleId="toc3c13f9442c13f9442">
    <w:name w:val="toc 3c13f9442c13f9442"/>
    <w:basedOn w:val="Normal0e67934d0e67934d"/>
    <w:next w:val="a"/>
    <w:pPr>
      <w:ind w:left="840"/>
    </w:pPr>
  </w:style>
  <w:style w:type="paragraph" w:customStyle="1" w:styleId="footer70405a5470405a54">
    <w:name w:val="footer70405a5470405a54"/>
    <w:basedOn w:val="Normal0e67934d0e67934d"/>
    <w:pPr>
      <w:tabs>
        <w:tab w:val="center" w:pos="4153"/>
        <w:tab w:val="right" w:pos="8307"/>
      </w:tabs>
      <w:snapToGrid w:val="0"/>
      <w:jc w:val="left"/>
    </w:pPr>
    <w:rPr>
      <w:sz w:val="18"/>
    </w:rPr>
  </w:style>
  <w:style w:type="paragraph" w:customStyle="1" w:styleId="header4f44aeba4f44aeba">
    <w:name w:val="header4f44aeba4f44aeba"/>
    <w:basedOn w:val="Normal0e67934d0e67934d"/>
    <w:pPr>
      <w:pBdr>
        <w:bottom w:val="single" w:sz="6" w:space="1" w:color="auto"/>
      </w:pBdr>
      <w:tabs>
        <w:tab w:val="center" w:pos="4153"/>
        <w:tab w:val="right" w:pos="8307"/>
      </w:tabs>
      <w:snapToGrid w:val="0"/>
      <w:jc w:val="center"/>
    </w:pPr>
    <w:rPr>
      <w:sz w:val="18"/>
    </w:rPr>
  </w:style>
  <w:style w:type="paragraph" w:customStyle="1" w:styleId="toc1ce5b4352ce5b4352">
    <w:name w:val="toc 1ce5b4352ce5b4352"/>
    <w:basedOn w:val="Normal0e67934d0e67934d"/>
    <w:next w:val="a"/>
  </w:style>
  <w:style w:type="paragraph" w:customStyle="1" w:styleId="toc46b5704f06b5704f0">
    <w:name w:val="toc 46b5704f06b5704f0"/>
    <w:basedOn w:val="Normal0e67934d0e67934d"/>
    <w:next w:val="a"/>
    <w:pPr>
      <w:ind w:left="1260"/>
    </w:pPr>
  </w:style>
  <w:style w:type="paragraph" w:customStyle="1" w:styleId="toc27d540e747d540e74">
    <w:name w:val="toc 27d540e747d540e74"/>
    <w:basedOn w:val="Normal0e67934d0e67934d"/>
    <w:next w:val="a"/>
    <w:pPr>
      <w:ind w:left="420"/>
    </w:pPr>
  </w:style>
  <w:style w:type="paragraph" w:customStyle="1" w:styleId="1adc1be1cadc1be1c">
    <w:name w:val="列出段落1adc1be1cadc1be1c"/>
    <w:pPr>
      <w:widowControl w:val="0"/>
      <w:ind w:firstLineChars="200" w:firstLine="200"/>
      <w:jc w:val="both"/>
    </w:pPr>
    <w:rPr>
      <w:rFonts w:ascii="方正黑体_GBK" w:eastAsia="方正黑体_GBK" w:hAnsi="方正黑体_GBK" w:cs="Times New Roman"/>
      <w:szCs w:val="21"/>
    </w:rPr>
  </w:style>
  <w:style w:type="paragraph" w:customStyle="1" w:styleId="10">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rmal (Web)"/>
    <w:next w:val="TOC1"/>
    <w:autoRedefine/>
    <w:qFormat/>
    <w:pPr>
      <w:spacing w:before="102" w:after="102" w:line="1099" w:lineRule="atLeast"/>
      <w:ind w:firstLine="419"/>
      <w:textAlignment w:val="baseline"/>
    </w:pPr>
    <w:rPr>
      <w:sz w:val="24"/>
      <w:szCs w:val="24"/>
    </w:rPr>
  </w:style>
  <w:style w:type="character" w:styleId="a8">
    <w:name w:val="Hyperlink"/>
    <w:autoRedefine/>
    <w:uiPriority w:val="99"/>
    <w:qFormat/>
    <w:rPr>
      <w:color w:val="0000FF"/>
      <w:u w:val="single"/>
    </w:rPr>
  </w:style>
  <w:style w:type="paragraph" w:customStyle="1" w:styleId="11">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3743</Words>
  <Characters>21337</Characters>
  <Application>Microsoft Office Word</Application>
  <DocSecurity>0</DocSecurity>
  <Lines>177</Lines>
  <Paragraphs>50</Paragraphs>
  <ScaleCrop>false</ScaleCrop>
  <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 MINGHAO</cp:lastModifiedBy>
  <cp:revision>2</cp:revision>
  <dcterms:created xsi:type="dcterms:W3CDTF">2024-04-19T01:24:00Z</dcterms:created>
  <dcterms:modified xsi:type="dcterms:W3CDTF">2024-04-19T01:24:00Z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