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caps w:val="0"/>
          <w:smallCaps w:val="0"/>
          <w:snapToGrid/>
          <w:vanish w:val="0"/>
          <w:color w:val="auto"/>
          <w:kern w:val="0"/>
          <w:sz w:val="24"/>
          <w:szCs w:val="24"/>
          <w:vertAlign w:val="baseline"/>
        </w:rPr>
      </w:pPr>
      <w:r>
        <w:rPr>
          <w:rFonts w:hint="eastAsia" w:ascii="方正黑体_GBK" w:hAnsi="方正黑体_GBK" w:eastAsia="方正黑体_GBK"/>
          <w:b/>
          <w:bCs/>
          <w:caps w:val="0"/>
          <w:smallCaps w:val="0"/>
          <w:snapToGrid/>
          <w:vanish w:val="0"/>
          <w:color w:val="auto"/>
          <w:kern w:val="0"/>
          <w:sz w:val="24"/>
          <w:szCs w:val="24"/>
          <w:vertAlign w:val="baseline"/>
        </w:rPr>
        <w:t>理财产品说明书</w:t>
      </w:r>
    </w:p>
    <w:p>
      <w:pPr>
        <w:pStyle w:val="3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i/>
          <w:iCs/>
          <w:caps w:val="0"/>
          <w:smallCaps w:val="0"/>
          <w:snapToGrid/>
          <w:vanish w:val="0"/>
          <w:color w:val="auto"/>
          <w:kern w:val="0"/>
          <w:sz w:val="24"/>
          <w:szCs w:val="24"/>
          <w:u w:val="single"/>
          <w:vertAlign w:val="baseline"/>
        </w:rPr>
      </w:pP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理财非存款、产品有风险、投资须谨慎</w:t>
      </w: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w:t>
      </w:r>
    </w:p>
    <w:p>
      <w:pPr>
        <w:pStyle w:val="37"/>
        <w:keepNext w:val="0"/>
        <w:keepLines w:val="0"/>
        <w:pageBreakBefore w:val="0"/>
        <w:widowControl/>
        <w:suppressLineNumbers w:val="0"/>
        <w:suppressAutoHyphens w:val="0"/>
        <w:spacing w:line="200" w:lineRule="exact"/>
        <w:ind w:firstLine="0"/>
        <w:jc w:val="both"/>
        <w:textAlignment w:val="baseline"/>
        <w:rPr>
          <w:rFonts w:ascii="方正黑体_GBK" w:hAnsi="方正黑体_GBK" w:eastAsia="方正黑体_GBK"/>
          <w:b/>
          <w:bCs w:val="0"/>
          <w:caps w:val="0"/>
          <w:smallCaps w:val="0"/>
          <w:snapToGrid/>
          <w:vanish w:val="0"/>
          <w:color w:val="3D3D3D"/>
          <w:kern w:val="0"/>
          <w:sz w:val="15"/>
          <w:szCs w:val="15"/>
          <w:vertAlign w:val="baseline"/>
        </w:rPr>
      </w:pPr>
      <w:r>
        <w:rPr>
          <w:rFonts w:hint="eastAsia" w:ascii="方正黑体_GBK" w:hAnsi="方正黑体_GBK" w:eastAsia="方正黑体_GBK"/>
          <w:b/>
          <w:bCs w:val="0"/>
          <w:caps w:val="0"/>
          <w:smallCaps w:val="0"/>
          <w:snapToGrid/>
          <w:vanish w:val="0"/>
          <w:color w:val="3D3D3D"/>
          <w:kern w:val="0"/>
          <w:sz w:val="15"/>
          <w:szCs w:val="15"/>
          <w:vertAlign w:val="baseline"/>
        </w:rPr>
        <w:t>第一条</w:t>
      </w:r>
      <w:r>
        <w:rPr>
          <w:rFonts w:ascii="方正黑体_GBK" w:hAnsi="方正黑体_GBK" w:eastAsia="方正黑体_GBK" w:cs="Times New Roman"/>
          <w:b/>
          <w:bCs w:val="0"/>
          <w:caps w:val="0"/>
          <w:smallCaps w:val="0"/>
          <w:snapToGrid/>
          <w:vanish w:val="0"/>
          <w:color w:val="3D3D3D"/>
          <w:kern w:val="0"/>
          <w:sz w:val="15"/>
          <w:szCs w:val="15"/>
          <w:vertAlign w:val="baseline"/>
        </w:rPr>
        <w:t xml:space="preserve">  </w:t>
      </w:r>
      <w:r>
        <w:rPr>
          <w:rFonts w:hint="eastAsia" w:ascii="方正黑体_GBK" w:hAnsi="方正黑体_GBK" w:eastAsia="方正黑体_GBK"/>
          <w:b/>
          <w:bCs w:val="0"/>
          <w:caps w:val="0"/>
          <w:smallCaps w:val="0"/>
          <w:snapToGrid/>
          <w:vanish w:val="0"/>
          <w:color w:val="3D3D3D"/>
          <w:kern w:val="0"/>
          <w:sz w:val="15"/>
          <w:szCs w:val="15"/>
          <w:vertAlign w:val="baseline"/>
        </w:rPr>
        <w:t>产品基本要素</w:t>
      </w:r>
    </w:p>
    <w:tbl>
      <w:tblPr>
        <w:tblStyle w:val="14"/>
        <w:tblW w:w="78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2272"/>
        <w:gridCol w:w="55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2"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产品名称</w:t>
            </w:r>
          </w:p>
        </w:tc>
        <w:tc>
          <w:tcPr>
            <w:tcW w:w="5543" w:type="dxa"/>
            <w:tcBorders>
              <w:top w:val="single" w:color="auto" w:sz="4" w:space="0"/>
              <w:left w:val="nil"/>
              <w:bottom w:val="single" w:color="auto" w:sz="2"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南银理财珠联璧合鑫逸稳三个月51期封闭式公募人民币理财产品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产品类型</w:t>
            </w:r>
          </w:p>
        </w:tc>
        <w:tc>
          <w:tcPr>
            <w:tcW w:w="554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封闭式、固定收益类、公募、净值型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募集方式</w:t>
            </w:r>
          </w:p>
        </w:tc>
        <w:tc>
          <w:tcPr>
            <w:tcW w:w="554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公开募集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理财产品代码</w:t>
            </w:r>
          </w:p>
        </w:tc>
        <w:tc>
          <w:tcPr>
            <w:tcW w:w="5543" w:type="dxa"/>
            <w:tcBorders>
              <w:top w:val="single" w:color="auto" w:sz="2"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ZZ700322400439</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产品登记编码</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宋体"/>
                <w:caps w:val="0"/>
                <w:smallCaps w:val="0"/>
                <w:snapToGrid/>
                <w:vanish w:val="0"/>
                <w:color w:val="auto"/>
                <w:kern w:val="0"/>
                <w:sz w:val="18"/>
                <w:szCs w:val="18"/>
                <w:vertAlign w:val="baseline"/>
              </w:rPr>
              <w:t>Z7003224000191(投资者可依据该编码在中国理财网www.chinawealth.com.cn查询理财产品相关信息）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内部销售代码</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A份额：Y80051</w:t>
            </w:r>
          </w:p>
          <w:p>
            <w:pPr>
              <w:spacing w:line="200" w:lineRule="exact"/>
            </w:pPr>
            <w:r>
              <w:rPr>
                <w:rFonts w:ascii="方正黑体_GBK" w:hAnsi="方正黑体_GBK" w:eastAsia="方正黑体_GBK" w:cs="宋体"/>
                <w:sz w:val="18"/>
                <w:szCs w:val="18"/>
              </w:rPr>
              <w:t>B份额：Y81051</w:t>
            </w:r>
          </w:p>
          <w:p>
            <w:pPr>
              <w:spacing w:line="200" w:lineRule="exact"/>
            </w:pPr>
            <w:r>
              <w:rPr>
                <w:rFonts w:ascii="方正黑体_GBK" w:hAnsi="方正黑体_GBK" w:eastAsia="方正黑体_GBK" w:cs="宋体"/>
                <w:sz w:val="18"/>
                <w:szCs w:val="18"/>
              </w:rPr>
              <w:t>C份额：Y82051</w:t>
            </w:r>
          </w:p>
          <w:p>
            <w:pPr>
              <w:spacing w:line="200" w:lineRule="exact"/>
            </w:pPr>
            <w:r>
              <w:rPr>
                <w:rFonts w:ascii="方正黑体_GBK" w:hAnsi="方正黑体_GBK" w:eastAsia="方正黑体_GBK" w:cs="宋体"/>
                <w:sz w:val="18"/>
                <w:szCs w:val="18"/>
              </w:rPr>
              <w:t>D份额：Y83051</w:t>
            </w:r>
          </w:p>
          <w:p>
            <w:pPr>
              <w:spacing w:line="200" w:lineRule="exact"/>
            </w:pPr>
            <w:r>
              <w:rPr>
                <w:rFonts w:ascii="方正黑体_GBK" w:hAnsi="方正黑体_GBK" w:eastAsia="方正黑体_GBK" w:cs="宋体"/>
                <w:sz w:val="18"/>
                <w:szCs w:val="18"/>
              </w:rPr>
              <w:t>E份额：Y84051</w:t>
            </w:r>
          </w:p>
          <w:p>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销售区域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全国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币种</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textAlignment w:val="center"/>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人民币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产品规模</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本理财产品规模上限为100亿元。理财产品管理人有权对上述规模上限根据实际业务需求进行调整。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风险等级</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根据理财产品管理人对理财产品的内部风险评估，本理财产品风险等级为</w:t>
            </w:r>
            <w:r>
              <w:rPr>
                <w:rFonts w:ascii="方正黑体_GBK" w:hAnsi="方正黑体_GBK" w:eastAsia="方正黑体_GBK" w:cs="宋体"/>
                <w:b/>
                <w:sz w:val="18"/>
                <w:szCs w:val="18"/>
              </w:rPr>
              <w:t>中低风险</w:t>
            </w:r>
            <w:r>
              <w:rPr>
                <w:rFonts w:ascii="方正黑体_GBK" w:hAnsi="方正黑体_GBK" w:eastAsia="方正黑体_GBK" w:cs="宋体"/>
                <w:sz w:val="18"/>
                <w:szCs w:val="18"/>
              </w:rPr>
              <w:t>（本风险等级为管理人内部风险评估结果，仅供参考）。</w:t>
            </w:r>
          </w:p>
          <w:p>
            <w:pPr>
              <w:spacing w:line="200" w:lineRule="exact"/>
            </w:pPr>
            <w:r>
              <w:rPr>
                <w:rFonts w:ascii="方正黑体_GBK" w:hAnsi="方正黑体_GBK" w:eastAsia="方正黑体_GBK"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3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发行对象</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color w:val="000000"/>
                <w:sz w:val="18"/>
                <w:szCs w:val="18"/>
              </w:rPr>
              <w:t>符合相关法律法规、监管规定要求的，经销售机构的风险承受能力评估体系评定为适合的个人和机构投资者。</w:t>
            </w:r>
          </w:p>
          <w:p>
            <w:pPr>
              <w:spacing w:line="200" w:lineRule="exact"/>
            </w:pPr>
            <w:r>
              <w:rPr>
                <w:rFonts w:ascii="方正黑体_GBK" w:hAnsi="方正黑体_GBK" w:eastAsia="方正黑体_GBK" w:cs="宋体"/>
                <w:sz w:val="18"/>
                <w:szCs w:val="18"/>
              </w:rPr>
              <w:t>A份额：除B、C、D、E份额以外的所有客户（详见“销售机构”条款）。</w:t>
            </w:r>
          </w:p>
          <w:p>
            <w:pPr>
              <w:spacing w:line="200" w:lineRule="exact"/>
            </w:pPr>
            <w:r>
              <w:rPr>
                <w:rFonts w:ascii="方正黑体_GBK" w:hAnsi="方正黑体_GBK" w:eastAsia="方正黑体_GBK" w:cs="宋体"/>
                <w:sz w:val="18"/>
                <w:szCs w:val="18"/>
              </w:rPr>
              <w:t>B份额：南京银行股份有限公司（大众客群）、青岛银行股份有限公司（社保卡专项客户）、杭州银行股份有限公司（社保卡专项客户）、温州银行股份有限公司、江苏张家港农村商业银行股份有限公司（社保卡专项客户）、河北银行股份有限公司、广州银行股份有限公司（社保卡专项客户）、江苏常熟农村商业银行股份有限公司（社保卡专项客户）、江苏苏州农村商业银行股份有限公司（社保卡专项客户）、苏州银行股份有限公司（大众客群）、宁波东海股份有限公司（社保卡专项客户）、齐鲁银行股份有限公司（白金/私行客户。白金客户：零售金融资产100万以上客户、私行客户：零售金融资产600万以上客户）、天津农村商业银行股份有限公司（社保卡专项客户）、云南红塔银行股份有限公司（普客）、富邦华一银行有限公司、桂林银行股份有限公司、兴业银行股份有限公司、江苏如皋农村商业银行股份有限公司（代发客户）。</w:t>
            </w:r>
          </w:p>
          <w:p>
            <w:pPr>
              <w:spacing w:line="200" w:lineRule="exact"/>
            </w:pPr>
            <w:r>
              <w:rPr>
                <w:rFonts w:ascii="方正黑体_GBK" w:hAnsi="方正黑体_GBK" w:eastAsia="方正黑体_GBK" w:cs="宋体"/>
                <w:sz w:val="18"/>
                <w:szCs w:val="18"/>
              </w:rPr>
              <w:t>C份额：汉口银行股份有限公司（20万元起购）、江苏张家港农村商业银行股份有限公司（对公专项客户）、烟台银行股份有限公司、郑州银行股份有限公司、苏州银行股份有限公司（公司客群）、日照银行股份有限公司、云南红塔银行股份有限公司（新客）、兰州银行股份有限公司、宁波通商银行股份有限公司（对公专项客户）、江苏泰兴农村商业银行股份有限公司、江苏南通农村商业银行股份有限公司（企业客户专享）、江苏兴化农村商业银行股份有限公司、江苏紫金农村商业银行股份有限公司（起点金额30万元以上）、江苏如东农村商业银行股份有限公司。</w:t>
            </w:r>
          </w:p>
          <w:p>
            <w:pPr>
              <w:spacing w:line="200" w:lineRule="exact"/>
            </w:pPr>
            <w:r>
              <w:rPr>
                <w:rFonts w:ascii="方正黑体_GBK" w:hAnsi="方正黑体_GBK" w:eastAsia="方正黑体_GBK" w:cs="宋体"/>
                <w:sz w:val="18"/>
                <w:szCs w:val="18"/>
              </w:rPr>
              <w:t>D份额：南京银行股份有限公司（金卡（不含）以下级别客户）、宁波通商股份有限公司（专项客户）、江苏扬州农村商业银行股份有限公司（新客）。</w:t>
            </w:r>
          </w:p>
          <w:p>
            <w:pPr>
              <w:spacing w:line="200" w:lineRule="exact"/>
            </w:pPr>
            <w:r>
              <w:rPr>
                <w:rFonts w:ascii="方正黑体_GBK" w:hAnsi="方正黑体_GBK" w:eastAsia="方正黑体_GBK" w:cs="宋体"/>
                <w:sz w:val="18"/>
                <w:szCs w:val="18"/>
              </w:rPr>
              <w:t>E份额：南京银行股份有限公司特邀客户。</w:t>
            </w:r>
          </w:p>
          <w:p>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w:t>
            </w:r>
          </w:p>
          <w:p>
            <w:pPr>
              <w:spacing w:line="200" w:lineRule="exact"/>
            </w:pPr>
            <w:r>
              <w:rPr>
                <w:rFonts w:ascii="方正黑体_GBK" w:hAnsi="方正黑体_GBK" w:eastAsia="方正黑体_GBK" w:cs="宋体"/>
                <w:b/>
                <w:sz w:val="18"/>
                <w:szCs w:val="18"/>
              </w:rPr>
              <w:t>南京银行股份有限公司特邀客户：</w:t>
            </w:r>
            <w:r>
              <w:rPr>
                <w:rFonts w:ascii="方正黑体_GBK" w:hAnsi="方正黑体_GBK" w:eastAsia="方正黑体_GBK" w:cs="宋体"/>
                <w:sz w:val="18"/>
                <w:szCs w:val="18"/>
              </w:rPr>
              <w:t>是指单笔金额1000万起的特邀公司类客户。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1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投资起点金额、递增金额</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A份额/B份额/C份额/D份额：</w:t>
            </w:r>
          </w:p>
          <w:p>
            <w:pPr>
              <w:spacing w:line="200" w:lineRule="exact"/>
            </w:pPr>
            <w:r>
              <w:rPr>
                <w:rFonts w:ascii="方正黑体_GBK" w:hAnsi="方正黑体_GBK" w:eastAsia="方正黑体_GBK" w:cs="宋体"/>
                <w:sz w:val="18"/>
                <w:szCs w:val="18"/>
              </w:rPr>
              <w:t>个人投资者投资起点金额1元人民币，以1元的整数倍递增；</w:t>
            </w:r>
          </w:p>
          <w:p>
            <w:pPr>
              <w:spacing w:line="200" w:lineRule="exact"/>
            </w:pPr>
            <w:r>
              <w:rPr>
                <w:rFonts w:ascii="方正黑体_GBK" w:hAnsi="方正黑体_GBK" w:eastAsia="方正黑体_GBK" w:cs="宋体"/>
                <w:sz w:val="18"/>
                <w:szCs w:val="18"/>
              </w:rPr>
              <w:t>机构投资者投资起点金额1元人民币，以1元的整数倍递增；</w:t>
            </w:r>
          </w:p>
          <w:p>
            <w:pPr>
              <w:spacing w:line="200" w:lineRule="exact"/>
            </w:pPr>
            <w:r>
              <w:rPr>
                <w:rFonts w:ascii="方正黑体_GBK" w:hAnsi="方正黑体_GBK" w:eastAsia="方正黑体_GBK" w:cs="宋体"/>
                <w:sz w:val="18"/>
                <w:szCs w:val="18"/>
              </w:rPr>
              <w:t>E份额：</w:t>
            </w:r>
          </w:p>
          <w:p>
            <w:pPr>
              <w:spacing w:line="200" w:lineRule="exact"/>
            </w:pPr>
            <w:r>
              <w:rPr>
                <w:rFonts w:ascii="方正黑体_GBK" w:hAnsi="方正黑体_GBK" w:eastAsia="方正黑体_GBK" w:cs="宋体"/>
                <w:sz w:val="18"/>
                <w:szCs w:val="18"/>
              </w:rPr>
              <w:t>个人投资者投资起点金额1元人民币，以1元的整数倍递增；</w:t>
            </w:r>
          </w:p>
          <w:p>
            <w:pPr>
              <w:spacing w:line="200" w:lineRule="exact"/>
            </w:pPr>
            <w:r>
              <w:rPr>
                <w:rFonts w:ascii="方正黑体_GBK" w:hAnsi="方正黑体_GBK" w:eastAsia="方正黑体_GBK" w:cs="宋体"/>
                <w:sz w:val="18"/>
                <w:szCs w:val="18"/>
              </w:rPr>
              <w:t>机构投资者投资起点金额1000万元人民币，以1元的整数倍递增；</w:t>
            </w:r>
          </w:p>
          <w:p>
            <w:pPr>
              <w:spacing w:line="200" w:lineRule="exact"/>
            </w:pPr>
            <w:r>
              <w:rPr>
                <w:rFonts w:ascii="方正黑体_GBK" w:hAnsi="方正黑体_GBK" w:eastAsia="方正黑体_GBK" w:cs="宋体"/>
                <w:sz w:val="18"/>
                <w:szCs w:val="18"/>
              </w:rPr>
              <w:t>后续在符合监管政策规定的条件下，理财产品管理人有权对上述投资起点金额和递增金额进行调整,并在调整日前至少3个工作日进行信息披露。</w:t>
            </w:r>
          </w:p>
          <w:p>
            <w:pPr>
              <w:spacing w:line="200" w:lineRule="exact"/>
            </w:pPr>
            <w:r>
              <w:rPr>
                <w:rFonts w:ascii="方正黑体_GBK" w:hAnsi="方正黑体_GBK" w:eastAsia="方正黑体_GBK" w:cs="宋体"/>
                <w:sz w:val="18"/>
                <w:szCs w:val="18"/>
              </w:rPr>
              <w:t>代销机构可根据其销售需要对投资起点金额、递增金额进行重新设定，投资者通过代销机构购买本理财产品的，以该代销机构最终披露的投资起点金额、递增金额为准。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单个投资者持有金额上限</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A份额/B份额/C份额/D份额：</w:t>
            </w:r>
          </w:p>
          <w:p>
            <w:pPr>
              <w:spacing w:line="200" w:lineRule="exact"/>
            </w:pPr>
            <w:r>
              <w:rPr>
                <w:rFonts w:ascii="方正黑体_GBK" w:hAnsi="方正黑体_GBK" w:eastAsia="方正黑体_GBK" w:cs="宋体"/>
                <w:sz w:val="18"/>
                <w:szCs w:val="18"/>
              </w:rPr>
              <w:t>暂不设置单个投资者持有金额上限；</w:t>
            </w:r>
          </w:p>
          <w:p>
            <w:pPr>
              <w:spacing w:line="200" w:lineRule="exact"/>
            </w:pPr>
            <w:r>
              <w:rPr>
                <w:rFonts w:ascii="方正黑体_GBK" w:hAnsi="方正黑体_GBK" w:eastAsia="方正黑体_GBK" w:cs="宋体"/>
                <w:sz w:val="18"/>
                <w:szCs w:val="18"/>
              </w:rPr>
              <w:t>E份额：</w:t>
            </w:r>
          </w:p>
          <w:p>
            <w:pPr>
              <w:spacing w:line="200" w:lineRule="exact"/>
            </w:pPr>
            <w:r>
              <w:rPr>
                <w:rFonts w:ascii="方正黑体_GBK" w:hAnsi="方正黑体_GBK" w:eastAsia="方正黑体_GBK" w:cs="宋体"/>
                <w:sz w:val="18"/>
                <w:szCs w:val="18"/>
              </w:rPr>
              <w:t>机构投资者：单个投资者持有金额上限3亿；</w:t>
            </w:r>
          </w:p>
          <w:p>
            <w:pPr>
              <w:spacing w:line="200" w:lineRule="exact"/>
              <w:jc w:val="left"/>
            </w:pPr>
            <w:r>
              <w:rPr>
                <w:rFonts w:ascii="方正黑体_GBK" w:hAnsi="方正黑体_GBK" w:eastAsia="方正黑体_GBK" w:cs="宋体"/>
                <w:sz w:val="18"/>
                <w:szCs w:val="18"/>
              </w:rPr>
              <w:t>注：1.管理人有权对上述单个投资者持有金额上限进行调整或取消，并在调整或取消前至少3个工作日公告。</w:t>
            </w:r>
          </w:p>
          <w:p>
            <w:pPr>
              <w:spacing w:line="200" w:lineRule="exact"/>
              <w:jc w:val="left"/>
            </w:pPr>
            <w:r>
              <w:rPr>
                <w:rFonts w:ascii="方正黑体_GBK" w:hAnsi="方正黑体_GBK" w:eastAsia="方正黑体_GBK"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单一投资者持有比例上限</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本理财产品单一投资者持有的份额（含已确认和待确认的份额）不得超过本理财产品总份额的50%，管理人有权拒绝导致投资者持有份额突破前述50%比例限制的认申购申请。</w:t>
            </w:r>
          </w:p>
          <w:p>
            <w:pPr>
              <w:spacing w:line="200" w:lineRule="exact"/>
              <w:jc w:val="left"/>
            </w:pPr>
            <w:r>
              <w:rPr>
                <w:rFonts w:ascii="方正黑体_GBK" w:hAnsi="方正黑体_GBK" w:eastAsia="方正黑体_GBK" w:cs="宋体"/>
                <w:sz w:val="18"/>
                <w:szCs w:val="18"/>
              </w:rPr>
              <w:t>非因管理人主观因素导致突破上述50%比例限制的，在单一投资者持有比例降至50%以下之前，管理人不再接受该投资者对本理财产品的认申购申请。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color w:val="000000"/>
                <w:sz w:val="18"/>
                <w:szCs w:val="18"/>
              </w:rPr>
              <w:t>2024年09月19日 09:00—2024年09月24日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认购份额计算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认购份额=确认认购金额/1。（认购份额以去尾法保留两位小数）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认购确认日</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ascii="方正黑体_GBK" w:hAnsi="方正黑体_GBK" w:eastAsia="方正黑体_GBK"/>
                <w:color w:val="000000"/>
                <w:kern w:val="0"/>
                <w:sz w:val="18"/>
                <w:szCs w:val="18"/>
              </w:rPr>
            </w:pPr>
            <w:r>
              <w:rPr>
                <w:rFonts w:hint="eastAsia" w:ascii="方正黑体_GBK" w:hAnsi="方正黑体_GBK" w:eastAsia="方正黑体_GBK"/>
                <w:color w:val="000000"/>
                <w:kern w:val="0"/>
                <w:sz w:val="18"/>
                <w:szCs w:val="18"/>
              </w:rPr>
              <w:t>同产品成立日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产品成立日</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pPr>
            <w:r>
              <w:rPr>
                <w:rFonts w:hint="eastAsia" w:ascii="方正黑体_GBK" w:hAnsi="方正黑体_GBK" w:eastAsia="方正黑体_GBK"/>
                <w:kern w:val="0"/>
                <w:sz w:val="18"/>
                <w:szCs w:val="18"/>
              </w:rPr>
              <w:t>2024年09月25日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产品存续期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2024年09月25日—实际到期日（</w:t>
            </w:r>
            <w:r>
              <w:rPr>
                <w:rFonts w:ascii="方正黑体_GBK" w:hAnsi="方正黑体_GBK" w:eastAsia="方正黑体_GBK" w:cs="宋体"/>
                <w:b/>
                <w:sz w:val="18"/>
                <w:szCs w:val="18"/>
              </w:rPr>
              <w:t>如名义到期日遇国家法定节假日，管理人可结合国家法定节假日安排进行调整。</w:t>
            </w:r>
            <w:r>
              <w:rPr>
                <w:rFonts w:ascii="方正黑体_GBK" w:hAnsi="方正黑体_GBK" w:eastAsia="方正黑体_GBK" w:cs="宋体"/>
                <w:sz w:val="18"/>
                <w:szCs w:val="18"/>
              </w:rPr>
              <w:t>若未出现以上情形，则实际到期日即为名义到期日，存续期限</w:t>
            </w:r>
            <w:r>
              <w:rPr>
                <w:rFonts w:ascii="方正黑体_GBK" w:hAnsi="方正黑体_GBK" w:eastAsia="方正黑体_GBK" w:cs="宋体"/>
                <w:b/>
                <w:sz w:val="18"/>
                <w:szCs w:val="18"/>
              </w:rPr>
              <w:t>105天</w:t>
            </w:r>
            <w:r>
              <w:rPr>
                <w:rFonts w:ascii="方正黑体_GBK" w:hAnsi="方正黑体_GBK" w:eastAsia="方正黑体_GBK" w:cs="宋体"/>
                <w:sz w:val="18"/>
                <w:szCs w:val="18"/>
              </w:rPr>
              <w:t>；若出现以上情形，则理财存续期限和实际到期日将相应调整，管理人将至少提前3个工作日进行信息披露。）</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名义到期日</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2025年01月08日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到期兑付金额计算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color w:val="000000"/>
                <w:sz w:val="18"/>
                <w:szCs w:val="18"/>
              </w:rPr>
              <w:t>到期兑付金额=到期时持有份额×R。 R为期末理财产品单位净值。（已扣除相关费用，到期兑付金额以去尾法保留两位小数）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收益分配</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本理财产品存续期间不进行分红。</w:t>
            </w:r>
          </w:p>
          <w:p>
            <w:pPr>
              <w:spacing w:line="200" w:lineRule="exact"/>
            </w:pPr>
            <w:r>
              <w:rPr>
                <w:rFonts w:ascii="方正黑体_GBK" w:hAnsi="方正黑体_GBK" w:eastAsia="方正黑体_GBK" w:cs="宋体"/>
                <w:sz w:val="18"/>
                <w:szCs w:val="18"/>
              </w:rPr>
              <w:t>产品到期后，理财产品管理人和代销机构将根据理财资金所投资资产实际运作情况向投资者分配到期款项。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资金到账日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到期资金将于实际到期日后5个工作日内划入投资者授权指定账户，实际到期日后至投资者收益划到投资者授权指定账户之前不计任何收益。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5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投资范围</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本理财产品募集的资金投资于以下金融资产和金融工具，包括但不限于：</w:t>
            </w:r>
          </w:p>
          <w:p>
            <w:pPr>
              <w:spacing w:line="200" w:lineRule="exact"/>
              <w:jc w:val="left"/>
            </w:pPr>
            <w:r>
              <w:rPr>
                <w:rFonts w:ascii="方正黑体_GBK" w:hAnsi="方正黑体_GBK" w:eastAsia="方正黑体_GBK" w:cs="宋体"/>
                <w:sz w:val="18"/>
                <w:szCs w:val="18"/>
              </w:rPr>
              <w:t>1.现金、银行存款、银行承兑汇票、同业存款、大额存单、同业存单、债券回购、货币基金等货币市场工具；</w:t>
            </w:r>
          </w:p>
          <w:p>
            <w:pPr>
              <w:spacing w:line="200" w:lineRule="exact"/>
              <w:jc w:val="left"/>
            </w:pPr>
            <w:r>
              <w:rPr>
                <w:rFonts w:ascii="方正黑体_GBK" w:hAnsi="方正黑体_GBK" w:eastAsia="方正黑体_GBK"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spacing w:line="200" w:lineRule="exact"/>
              <w:jc w:val="left"/>
            </w:pPr>
            <w:r>
              <w:rPr>
                <w:rFonts w:ascii="方正黑体_GBK" w:hAnsi="方正黑体_GBK" w:eastAsia="方正黑体_GBK"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pPr>
              <w:spacing w:line="200" w:lineRule="exact"/>
              <w:jc w:val="left"/>
            </w:pPr>
            <w:r>
              <w:rPr>
                <w:rFonts w:ascii="方正黑体_GBK" w:hAnsi="方正黑体_GBK" w:eastAsia="方正黑体_GBK" w:cs="宋体"/>
                <w:sz w:val="18"/>
                <w:szCs w:val="18"/>
              </w:rPr>
              <w:t>4.投资范围为上述资产的信托计划、资产管理计划等资产管理产品；</w:t>
            </w:r>
          </w:p>
          <w:p>
            <w:pPr>
              <w:spacing w:line="200" w:lineRule="exact"/>
              <w:jc w:val="left"/>
            </w:pPr>
            <w:r>
              <w:rPr>
                <w:rFonts w:ascii="方正黑体_GBK" w:hAnsi="方正黑体_GBK" w:eastAsia="方正黑体_GBK" w:cs="宋体"/>
                <w:sz w:val="18"/>
                <w:szCs w:val="18"/>
              </w:rPr>
              <w:t>5.法律法规或监管机构允许投资的符合本理财产品投资性质的其他金融工具；</w:t>
            </w:r>
          </w:p>
          <w:p>
            <w:pPr>
              <w:spacing w:line="200" w:lineRule="exact"/>
            </w:pPr>
            <w:r>
              <w:rPr>
                <w:rFonts w:ascii="方正黑体_GBK" w:hAnsi="方正黑体_GBK" w:eastAsia="方正黑体_GBK" w:cs="宋体"/>
                <w:sz w:val="18"/>
                <w:szCs w:val="18"/>
              </w:rPr>
              <w:t>6.如存在法律法规或监管机构以后允许投资的其他品种或法律法规或监管政策出现调整，管理人在履行本理财产品销售文件规定的适当程序后，有权调整以上品种。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投资比例</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本理财产品投资于固定收益类资产的比例不低于80%,投资于非标准化债权类资产的比例不高于50%。</w:t>
            </w:r>
          </w:p>
          <w:p>
            <w:pPr>
              <w:spacing w:line="200" w:lineRule="exact"/>
            </w:pPr>
            <w:r>
              <w:rPr>
                <w:rFonts w:ascii="方正黑体_GBK" w:hAnsi="方正黑体_GBK" w:eastAsia="方正黑体_GBK"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投资策略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本产品在严格控制风险（包括流动性风险、市场风险、信用风险）的前提下，以自上而下的经济基本面分析为基础，合理筛选资产，力争实现资产的稳健增长。</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拟投资非标准化债权类资产</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b/>
                <w:sz w:val="18"/>
                <w:szCs w:val="18"/>
              </w:rPr>
              <w:t>本理财产品拟投资以下备选非标准化债权类资产：</w:t>
            </w:r>
          </w:p>
          <w:p>
            <w:pPr>
              <w:spacing w:line="200" w:lineRule="exact"/>
            </w:pPr>
            <w:r>
              <w:rPr>
                <w:rFonts w:ascii="方正黑体_GBK" w:hAnsi="方正黑体_GBK" w:eastAsia="方正黑体_GBK" w:cs="宋体"/>
                <w:sz w:val="18"/>
                <w:szCs w:val="18"/>
              </w:rPr>
              <w:t>1、信托贷款：资产类型为信托公司设立的资金信托计划，底层资产为蚂蚁及信托公司双重审核、信托公司自主风控后发放的“花呗”消费授信付款资产，消费场景包含线上网购、线下实体店、020、航旅、缴费、公共出行等众多领域，资产到期日不超过理财产品到期日。</w:t>
            </w:r>
          </w:p>
          <w:p>
            <w:pPr>
              <w:spacing w:line="200" w:lineRule="exact"/>
            </w:pPr>
            <w:r>
              <w:rPr>
                <w:rFonts w:ascii="方正黑体_GBK" w:hAnsi="方正黑体_GBK" w:eastAsia="方正黑体_GBK" w:cs="宋体"/>
                <w:sz w:val="18"/>
                <w:szCs w:val="18"/>
              </w:rPr>
              <w:t>2、信托贷款：资产类型为信托公司设立的资金信托计划，底层资产为抖音及信托公司双重审核、信托公司自主风控后发放的“月付”个人消费贷款债权，消费场景以线上购物为主，资产到期日不超过理财产品到期日。</w:t>
            </w:r>
          </w:p>
          <w:p>
            <w:pPr>
              <w:spacing w:line="200" w:lineRule="exact"/>
            </w:pPr>
            <w:r>
              <w:rPr>
                <w:rFonts w:ascii="方正黑体_GBK" w:hAnsi="方正黑体_GBK" w:eastAsia="方正黑体_GBK" w:cs="宋体"/>
                <w:b/>
                <w:sz w:val="18"/>
                <w:szCs w:val="18"/>
              </w:rPr>
              <w:t>以上资产剩余期限均不超过产品期限。</w:t>
            </w:r>
          </w:p>
          <w:p>
            <w:pPr>
              <w:spacing w:line="200" w:lineRule="exact"/>
            </w:pPr>
            <w:r>
              <w:rPr>
                <w:rFonts w:ascii="方正黑体_GBK" w:hAnsi="方正黑体_GBK" w:eastAsia="方正黑体_GBK" w:cs="宋体"/>
                <w:b/>
                <w:sz w:val="18"/>
                <w:szCs w:val="18"/>
              </w:rPr>
              <w:t>产品管理人将优先选择上述备选非标准化债权类资产中的一笔或者多笔作为本理财产品投资的非标准化债权类资产，并在本理财产品的定期报告中进行信息披露。</w:t>
            </w:r>
          </w:p>
          <w:p>
            <w:pPr>
              <w:spacing w:line="200" w:lineRule="exact"/>
            </w:pPr>
            <w:r>
              <w:rPr>
                <w:rFonts w:ascii="方正黑体_GBK" w:hAnsi="方正黑体_GBK" w:eastAsia="方正黑体_GBK" w:cs="宋体"/>
                <w:b/>
                <w:sz w:val="18"/>
                <w:szCs w:val="18"/>
              </w:rPr>
              <w:t>若受到市场影响出现融资人临时变更融资要素（如取消该笔资产发行或改变资产的发行时间、资产收益等要素）导致本理财产品无法投资对应资产时，为最大程度保障投资者权益，管理人有权采取如下措施：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2.若本理财产品已成立，则管理人有权提前终止本理财产品，自产品成立至提前终止日期间不计任何收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bCs/>
                <w:caps w:val="0"/>
                <w:smallCaps w:val="0"/>
                <w:snapToGrid/>
                <w:vanish w:val="0"/>
                <w:color w:val="auto"/>
                <w:kern w:val="0"/>
                <w:sz w:val="18"/>
                <w:szCs w:val="18"/>
                <w:vertAlign w:val="baseline"/>
              </w:rPr>
              <w:t>业绩比较基准</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A份额：业绩比较基准为2.6%(年化)。</w:t>
            </w:r>
          </w:p>
          <w:p>
            <w:pPr>
              <w:spacing w:line="200" w:lineRule="exact"/>
            </w:pPr>
            <w:r>
              <w:rPr>
                <w:rFonts w:ascii="方正黑体_GBK" w:hAnsi="方正黑体_GBK" w:eastAsia="方正黑体_GBK" w:cs="宋体"/>
                <w:sz w:val="18"/>
                <w:szCs w:val="18"/>
              </w:rPr>
              <w:t>B份额：业绩比较基准为2.7%(年化)。</w:t>
            </w:r>
          </w:p>
          <w:p>
            <w:pPr>
              <w:spacing w:line="200" w:lineRule="exact"/>
            </w:pPr>
            <w:r>
              <w:rPr>
                <w:rFonts w:ascii="方正黑体_GBK" w:hAnsi="方正黑体_GBK" w:eastAsia="方正黑体_GBK" w:cs="宋体"/>
                <w:sz w:val="18"/>
                <w:szCs w:val="18"/>
              </w:rPr>
              <w:t>C份额：业绩比较基准为2.8%(年化)。</w:t>
            </w:r>
          </w:p>
          <w:p>
            <w:pPr>
              <w:spacing w:line="200" w:lineRule="exact"/>
            </w:pPr>
            <w:r>
              <w:rPr>
                <w:rFonts w:ascii="方正黑体_GBK" w:hAnsi="方正黑体_GBK" w:eastAsia="方正黑体_GBK" w:cs="宋体"/>
                <w:sz w:val="18"/>
                <w:szCs w:val="18"/>
              </w:rPr>
              <w:t>D份额：业绩比较基准为2.9%(年化)。</w:t>
            </w:r>
          </w:p>
          <w:p>
            <w:pPr>
              <w:spacing w:line="200" w:lineRule="exact"/>
            </w:pPr>
            <w:r>
              <w:rPr>
                <w:rFonts w:ascii="方正黑体_GBK" w:hAnsi="方正黑体_GBK" w:eastAsia="方正黑体_GBK" w:cs="宋体"/>
                <w:sz w:val="18"/>
                <w:szCs w:val="18"/>
              </w:rPr>
              <w:t>E份额：业绩比较基准为2.8%(年化)。</w:t>
            </w:r>
          </w:p>
          <w:p>
            <w:pPr>
              <w:spacing w:line="200" w:lineRule="exact"/>
            </w:pPr>
            <w:r>
              <w:rPr>
                <w:rFonts w:ascii="方正黑体_GBK" w:hAnsi="方正黑体_GBK" w:eastAsia="方正黑体_GBK" w:cs="宋体"/>
                <w:sz w:val="18"/>
                <w:szCs w:val="18"/>
              </w:rPr>
              <w:t>本产品不同份额针对不同的销售机构及客群进行销售，设置有不同的销售费和管理费，导致业绩基准测算结果不同。</w:t>
            </w:r>
          </w:p>
          <w:p>
            <w:pPr>
              <w:spacing w:line="200" w:lineRule="exac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结合债券市场和拟投资的非标准化债权类资产的收益和波动水平预判，在本理财产品约定的投资策略基础上，管理人设定了本理财产品投资周期内的业绩比较基准。</w:t>
            </w:r>
          </w:p>
          <w:p>
            <w:pPr>
              <w:spacing w:line="200" w:lineRule="exact"/>
            </w:pPr>
            <w:r>
              <w:rPr>
                <w:rFonts w:ascii="方正黑体_GBK" w:hAnsi="方正黑体_GBK" w:eastAsia="方正黑体_GBK" w:cs="宋体"/>
                <w:b/>
                <w:sz w:val="18"/>
                <w:szCs w:val="18"/>
              </w:rPr>
              <w:t>本理财产品为净值型理财产品，业绩比较基准不是预期收益率，不代表产品的未来表现和实际收益，不构成对产品收益的承诺。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ascii="方正黑体_GBK" w:hAnsi="方正黑体_GBK" w:eastAsia="方正黑体_GBK" w:cs="Times New Roman"/>
                <w:bCs/>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产品</w:t>
            </w:r>
            <w:r>
              <w:rPr>
                <w:rFonts w:hint="eastAsia" w:ascii="方正黑体_GBK" w:hAnsi="方正黑体_GBK" w:eastAsia="方正黑体_GBK"/>
                <w:caps w:val="0"/>
                <w:smallCaps w:val="0"/>
                <w:snapToGrid/>
                <w:vanish w:val="0"/>
                <w:color w:val="auto"/>
                <w:kern w:val="0"/>
                <w:sz w:val="18"/>
                <w:szCs w:val="18"/>
                <w:vertAlign w:val="baseline"/>
              </w:rPr>
              <w:t>费用</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b/>
                <w:sz w:val="18"/>
                <w:szCs w:val="18"/>
              </w:rPr>
              <w:t>认/申购费：本理财产品暂不收取认/申购费。</w:t>
            </w:r>
          </w:p>
          <w:p>
            <w:pPr>
              <w:spacing w:line="200" w:lineRule="exact"/>
            </w:pPr>
            <w:r>
              <w:rPr>
                <w:rFonts w:ascii="方正黑体_GBK" w:hAnsi="方正黑体_GBK" w:eastAsia="方正黑体_GBK" w:cs="宋体"/>
                <w:b/>
                <w:sz w:val="18"/>
                <w:szCs w:val="18"/>
              </w:rPr>
              <w:t>赎回费：本理财产品暂不收取赎回费。</w:t>
            </w:r>
          </w:p>
          <w:p>
            <w:pPr>
              <w:spacing w:line="200" w:lineRule="exact"/>
            </w:pPr>
            <w:r>
              <w:rPr>
                <w:rFonts w:ascii="方正黑体_GBK" w:hAnsi="方正黑体_GBK" w:eastAsia="方正黑体_GBK" w:cs="宋体"/>
                <w:b/>
                <w:sz w:val="18"/>
                <w:szCs w:val="18"/>
              </w:rPr>
              <w:t>销售费：本理财产品按前一日理财产品资产净值收取销售费，按日计提。</w:t>
            </w:r>
          </w:p>
          <w:p>
            <w:pPr>
              <w:spacing w:line="200" w:lineRule="exact"/>
            </w:pPr>
            <w:r>
              <w:rPr>
                <w:rFonts w:ascii="方正黑体_GBK" w:hAnsi="方正黑体_GBK" w:eastAsia="方正黑体_GBK" w:cs="宋体"/>
                <w:b/>
                <w:sz w:val="18"/>
                <w:szCs w:val="18"/>
              </w:rPr>
              <w:t>A份额：销售费年化0.2%</w:t>
            </w:r>
          </w:p>
          <w:p>
            <w:pPr>
              <w:spacing w:line="200" w:lineRule="exact"/>
            </w:pPr>
            <w:r>
              <w:rPr>
                <w:rFonts w:ascii="方正黑体_GBK" w:hAnsi="方正黑体_GBK" w:eastAsia="方正黑体_GBK" w:cs="宋体"/>
                <w:b/>
                <w:sz w:val="18"/>
                <w:szCs w:val="18"/>
              </w:rPr>
              <w:t>B份额：销售费年化0.2%</w:t>
            </w:r>
          </w:p>
          <w:p>
            <w:pPr>
              <w:spacing w:line="200" w:lineRule="exact"/>
            </w:pPr>
            <w:r>
              <w:rPr>
                <w:rFonts w:ascii="方正黑体_GBK" w:hAnsi="方正黑体_GBK" w:eastAsia="方正黑体_GBK" w:cs="宋体"/>
                <w:b/>
                <w:sz w:val="18"/>
                <w:szCs w:val="18"/>
              </w:rPr>
              <w:t>C份额：销售费年化0.1%</w:t>
            </w:r>
          </w:p>
          <w:p>
            <w:pPr>
              <w:spacing w:line="200" w:lineRule="exact"/>
            </w:pPr>
            <w:r>
              <w:rPr>
                <w:rFonts w:ascii="方正黑体_GBK" w:hAnsi="方正黑体_GBK" w:eastAsia="方正黑体_GBK" w:cs="宋体"/>
                <w:b/>
                <w:sz w:val="18"/>
                <w:szCs w:val="18"/>
              </w:rPr>
              <w:t>D份额：销售费年化0%</w:t>
            </w:r>
          </w:p>
          <w:p>
            <w:pPr>
              <w:spacing w:line="200" w:lineRule="exact"/>
            </w:pPr>
            <w:r>
              <w:rPr>
                <w:rFonts w:ascii="方正黑体_GBK" w:hAnsi="方正黑体_GBK" w:eastAsia="方正黑体_GBK" w:cs="宋体"/>
                <w:b/>
                <w:sz w:val="18"/>
                <w:szCs w:val="18"/>
              </w:rPr>
              <w:t>E份额：销售费年化0.1%</w:t>
            </w:r>
          </w:p>
          <w:p>
            <w:pPr>
              <w:spacing w:line="200" w:lineRule="exact"/>
            </w:pPr>
            <w:r>
              <w:rPr>
                <w:rFonts w:ascii="方正黑体_GBK" w:hAnsi="方正黑体_GBK" w:eastAsia="方正黑体_GBK" w:cs="宋体"/>
                <w:b/>
                <w:sz w:val="18"/>
                <w:szCs w:val="18"/>
              </w:rPr>
              <w:t>每日计提的销售费=前一日理财产品资产净值×年化销售费率÷365</w:t>
            </w:r>
          </w:p>
          <w:p>
            <w:pPr>
              <w:spacing w:line="200" w:lineRule="exact"/>
            </w:pPr>
            <w:r>
              <w:rPr>
                <w:rFonts w:ascii="方正黑体_GBK" w:hAnsi="方正黑体_GBK" w:eastAsia="方正黑体_GBK" w:cs="宋体"/>
                <w:b/>
                <w:sz w:val="18"/>
                <w:szCs w:val="18"/>
              </w:rPr>
              <w:t>固定管理费：本理财产品按前一日理财产品资产净值收取固定管理费，按日计提。</w:t>
            </w:r>
          </w:p>
          <w:p>
            <w:pPr>
              <w:spacing w:line="200" w:lineRule="exact"/>
            </w:pPr>
            <w:r>
              <w:rPr>
                <w:rFonts w:ascii="方正黑体_GBK" w:hAnsi="方正黑体_GBK" w:eastAsia="方正黑体_GBK" w:cs="宋体"/>
                <w:b/>
                <w:sz w:val="18"/>
                <w:szCs w:val="18"/>
              </w:rPr>
              <w:t>A份额：固定管理费年化0.2%</w:t>
            </w:r>
          </w:p>
          <w:p>
            <w:pPr>
              <w:spacing w:line="200" w:lineRule="exact"/>
            </w:pPr>
            <w:r>
              <w:rPr>
                <w:rFonts w:ascii="方正黑体_GBK" w:hAnsi="方正黑体_GBK" w:eastAsia="方正黑体_GBK" w:cs="宋体"/>
                <w:b/>
                <w:sz w:val="18"/>
                <w:szCs w:val="18"/>
              </w:rPr>
              <w:t>B份额：固定管理费年化0.1%</w:t>
            </w:r>
          </w:p>
          <w:p>
            <w:pPr>
              <w:spacing w:line="200" w:lineRule="exact"/>
            </w:pPr>
            <w:r>
              <w:rPr>
                <w:rFonts w:ascii="方正黑体_GBK" w:hAnsi="方正黑体_GBK" w:eastAsia="方正黑体_GBK" w:cs="宋体"/>
                <w:b/>
                <w:sz w:val="18"/>
                <w:szCs w:val="18"/>
              </w:rPr>
              <w:t>C份额：固定管理费年化0.1%</w:t>
            </w:r>
          </w:p>
          <w:p>
            <w:pPr>
              <w:spacing w:line="200" w:lineRule="exact"/>
            </w:pPr>
            <w:r>
              <w:rPr>
                <w:rFonts w:ascii="方正黑体_GBK" w:hAnsi="方正黑体_GBK" w:eastAsia="方正黑体_GBK" w:cs="宋体"/>
                <w:b/>
                <w:sz w:val="18"/>
                <w:szCs w:val="18"/>
              </w:rPr>
              <w:t>D份额：固定管理费年化0.1%</w:t>
            </w:r>
          </w:p>
          <w:p>
            <w:pPr>
              <w:spacing w:line="200" w:lineRule="exact"/>
            </w:pPr>
            <w:r>
              <w:rPr>
                <w:rFonts w:ascii="方正黑体_GBK" w:hAnsi="方正黑体_GBK" w:eastAsia="方正黑体_GBK" w:cs="宋体"/>
                <w:b/>
                <w:sz w:val="18"/>
                <w:szCs w:val="18"/>
              </w:rPr>
              <w:t>E份额：固定管理费年化0.1%</w:t>
            </w:r>
          </w:p>
          <w:p>
            <w:pPr>
              <w:spacing w:line="200" w:lineRule="exact"/>
            </w:pPr>
            <w:r>
              <w:rPr>
                <w:rFonts w:ascii="方正黑体_GBK" w:hAnsi="方正黑体_GBK" w:eastAsia="方正黑体_GBK" w:cs="宋体"/>
                <w:b/>
                <w:sz w:val="18"/>
                <w:szCs w:val="18"/>
              </w:rPr>
              <w:t>每日计提的固定管理费=前一日理财产品资产净值×年化固定管理费率÷365</w:t>
            </w:r>
          </w:p>
          <w:p>
            <w:pPr>
              <w:spacing w:line="200" w:lineRule="exact"/>
            </w:pPr>
            <w:r>
              <w:rPr>
                <w:rFonts w:ascii="方正黑体_GBK" w:hAnsi="方正黑体_GBK" w:eastAsia="方正黑体_GBK" w:cs="宋体"/>
                <w:b/>
                <w:sz w:val="18"/>
                <w:szCs w:val="18"/>
              </w:rPr>
              <w:t>托管费：本理财产品按前一日理财产品资产净值收取年化0.02%的托管费，按日计提。</w:t>
            </w:r>
          </w:p>
          <w:p>
            <w:pPr>
              <w:spacing w:line="200" w:lineRule="exact"/>
            </w:pPr>
            <w:r>
              <w:rPr>
                <w:rFonts w:ascii="方正黑体_GBK" w:hAnsi="方正黑体_GBK" w:eastAsia="方正黑体_GBK" w:cs="宋体"/>
                <w:b/>
                <w:sz w:val="18"/>
                <w:szCs w:val="18"/>
              </w:rPr>
              <w:t>每日计提的托管费=前一日理财产品资产净值×年化托管费率÷365</w:t>
            </w:r>
          </w:p>
          <w:p>
            <w:pPr>
              <w:spacing w:line="200" w:lineRule="exact"/>
            </w:pPr>
            <w:r>
              <w:rPr>
                <w:rFonts w:ascii="方正黑体_GBK" w:hAnsi="方正黑体_GBK" w:eastAsia="方正黑体_GBK" w:cs="宋体"/>
                <w:b/>
                <w:sz w:val="18"/>
                <w:szCs w:val="18"/>
              </w:rPr>
              <w:t>业绩报酬：</w:t>
            </w:r>
          </w:p>
          <w:p>
            <w:pPr>
              <w:spacing w:line="200" w:lineRule="exact"/>
            </w:pPr>
            <w:r>
              <w:rPr>
                <w:rFonts w:ascii="方正黑体_GBK" w:hAnsi="方正黑体_GBK" w:eastAsia="方正黑体_GBK" w:cs="宋体"/>
                <w:b/>
                <w:sz w:val="18"/>
                <w:szCs w:val="18"/>
              </w:rPr>
              <w:t>A份额：到期兑付时，当期产品投资的实际资产组合收益（扣除销售费、固定管理费、托管费等相关费用）超过2.6%（年化，即产品该份额对应的业绩报酬计提基准）时，超过部分管理人将按60%收取业绩报酬。</w:t>
            </w:r>
          </w:p>
          <w:p>
            <w:pPr>
              <w:spacing w:line="200" w:lineRule="exact"/>
            </w:pPr>
            <w:r>
              <w:rPr>
                <w:rFonts w:ascii="方正黑体_GBK" w:hAnsi="方正黑体_GBK" w:eastAsia="方正黑体_GBK" w:cs="宋体"/>
                <w:b/>
                <w:sz w:val="18"/>
                <w:szCs w:val="18"/>
              </w:rPr>
              <w:t>B份额：到期兑付时，当期产品投资的实际资产组合收益（扣除销售费、固定管理费、托管费等相关费用）超过2.7%（年化，即产品该份额对应的业绩报酬计提基准）时，超过部分管理人将按60%收取业绩报酬。</w:t>
            </w:r>
          </w:p>
          <w:p>
            <w:pPr>
              <w:spacing w:line="200" w:lineRule="exact"/>
            </w:pPr>
            <w:r>
              <w:rPr>
                <w:rFonts w:ascii="方正黑体_GBK" w:hAnsi="方正黑体_GBK" w:eastAsia="方正黑体_GBK" w:cs="宋体"/>
                <w:b/>
                <w:sz w:val="18"/>
                <w:szCs w:val="18"/>
              </w:rPr>
              <w:t>C份额：到期兑付时，当期产品投资的实际资产组合收益（扣除销售费、固定管理费、托管费等相关费用）超过2.8%（年化，即产品该份额对应的业绩报酬计提基准）时，超过部分管理人将按60%收取业绩报酬。</w:t>
            </w:r>
          </w:p>
          <w:p>
            <w:pPr>
              <w:spacing w:line="200" w:lineRule="exact"/>
            </w:pPr>
            <w:r>
              <w:rPr>
                <w:rFonts w:ascii="方正黑体_GBK" w:hAnsi="方正黑体_GBK" w:eastAsia="方正黑体_GBK" w:cs="宋体"/>
                <w:b/>
                <w:sz w:val="18"/>
                <w:szCs w:val="18"/>
              </w:rPr>
              <w:t>D份额：到期兑付时，当期产品投资的实际资产组合收益（扣除销售费、固定管理费、托管费等相关费用）超过2.9%（年化，即产品该份额对应的业绩报酬计提基准）时，超过部分管理人将按60%收取业绩报酬。</w:t>
            </w:r>
          </w:p>
          <w:p>
            <w:pPr>
              <w:spacing w:line="200" w:lineRule="exact"/>
            </w:pPr>
            <w:r>
              <w:rPr>
                <w:rFonts w:ascii="方正黑体_GBK" w:hAnsi="方正黑体_GBK" w:eastAsia="方正黑体_GBK" w:cs="宋体"/>
                <w:b/>
                <w:sz w:val="18"/>
                <w:szCs w:val="18"/>
              </w:rPr>
              <w:t>E份额：到期兑付时，当期产品投资的实际资产组合收益（扣除销售费、固定管理费、托管费等相关费用）超过2.8%（年化，即产品该份额对应的业绩报酬计提基准）时，超过部分管理人将按60%收取业绩报酬。</w:t>
            </w:r>
          </w:p>
          <w:p>
            <w:pPr>
              <w:spacing w:line="200" w:lineRule="exact"/>
            </w:pPr>
            <w:r>
              <w:rPr>
                <w:rFonts w:ascii="方正黑体_GBK" w:hAnsi="方正黑体_GBK" w:eastAsia="方正黑体_GBK"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pPr>
              <w:spacing w:line="200" w:lineRule="exact"/>
            </w:pPr>
            <w:r>
              <w:rPr>
                <w:rFonts w:ascii="方正黑体_GBK" w:hAns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pPr>
              <w:spacing w:line="200" w:lineRule="exact"/>
            </w:pPr>
            <w:r>
              <w:rPr>
                <w:rFonts w:ascii="方正黑体_GBK" w:hAnsi="方正黑体_GBK" w:eastAsia="方正黑体_GBK" w:cs="宋体"/>
                <w:b/>
                <w:sz w:val="18"/>
                <w:szCs w:val="18"/>
              </w:rPr>
              <w:t>注：1.根据财政部《资产管理产品相关会计处理规定》（财会〔2022〕14号）“将当期发生的管理人报酬计入当期损益”的相关规定，本理财产品将每日计提暂估的业绩报酬（如有）。</w:t>
            </w:r>
          </w:p>
          <w:p>
            <w:pPr>
              <w:spacing w:line="200" w:lineRule="exact"/>
            </w:pPr>
            <w:r>
              <w:rPr>
                <w:rFonts w:ascii="方正黑体_GBK" w:hAnsi="方正黑体_GBK" w:eastAsia="方正黑体_GBK"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pPr>
              <w:spacing w:line="200" w:lineRule="exact"/>
            </w:pPr>
            <w:r>
              <w:rPr>
                <w:rFonts w:ascii="方正黑体_GBK" w:hAnsi="方正黑体_GBK" w:eastAsia="方正黑体_GBK" w:cs="宋体"/>
                <w:b/>
                <w:sz w:val="18"/>
                <w:szCs w:val="18"/>
              </w:rPr>
              <w:t>计算本区间业绩报酬的公式如下：</w:t>
            </w:r>
          </w:p>
          <w:p>
            <w:pPr>
              <w:spacing w:line="200" w:lineRule="exact"/>
            </w:pPr>
            <w:r>
              <w:rPr>
                <w:rFonts w:ascii="方正黑体_GBK" w:hAnsi="方正黑体_GBK" w:eastAsia="方正黑体_GBK" w:cs="宋体"/>
                <w:b/>
                <w:sz w:val="18"/>
                <w:szCs w:val="18"/>
              </w:rPr>
              <w:t>A={B-C*D*(1+E*F/365)}*G。</w:t>
            </w:r>
          </w:p>
          <w:p>
            <w:pPr>
              <w:spacing w:line="200" w:lineRule="exact"/>
            </w:pPr>
            <w:r>
              <w:rPr>
                <w:rFonts w:ascii="方正黑体_GBK" w:hAnsi="方正黑体_GBK" w:eastAsia="方正黑体_GBK"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0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风险事件说明</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具体详见本理财产品风险揭示书。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理财产品管理人及管理人职责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pPr>
              <w:spacing w:line="200" w:lineRule="exact"/>
              <w:jc w:val="left"/>
            </w:pPr>
            <w:r>
              <w:rPr>
                <w:rFonts w:ascii="方正黑体_GBK" w:hAnsi="方正黑体_GBK" w:eastAsia="方正黑体_GBK" w:cs="宋体"/>
                <w:color w:val="000000"/>
                <w:sz w:val="18"/>
                <w:szCs w:val="18"/>
              </w:rPr>
              <w:t>1.按照法律法规、监管规定及理财产品销售文件的约定，发行并管理理财产品；</w:t>
            </w:r>
          </w:p>
          <w:p>
            <w:pPr>
              <w:spacing w:line="200" w:lineRule="exact"/>
              <w:jc w:val="left"/>
            </w:pPr>
            <w:r>
              <w:rPr>
                <w:rFonts w:ascii="方正黑体_GBK" w:hAnsi="方正黑体_GBK" w:eastAsia="方正黑体_GBK" w:cs="宋体"/>
                <w:color w:val="000000"/>
                <w:sz w:val="18"/>
                <w:szCs w:val="18"/>
              </w:rPr>
              <w:t>2.根据理财产品的投资组合、同类产品过往业绩和风险状况等因素，对理财产品进行评级；</w:t>
            </w:r>
          </w:p>
          <w:p>
            <w:pPr>
              <w:spacing w:line="200" w:lineRule="exact"/>
              <w:jc w:val="left"/>
            </w:pPr>
            <w:r>
              <w:rPr>
                <w:rFonts w:ascii="方正黑体_GBK" w:hAnsi="方正黑体_GBK" w:eastAsia="方正黑体_GBK" w:cs="宋体"/>
                <w:color w:val="000000"/>
                <w:sz w:val="18"/>
                <w:szCs w:val="18"/>
              </w:rPr>
              <w:t>3.按照法律法规、监管规定及与投资者约定的信息披露渠道及时披露理财产品相关信息；</w:t>
            </w:r>
          </w:p>
          <w:p>
            <w:pPr>
              <w:spacing w:line="200" w:lineRule="exact"/>
              <w:jc w:val="left"/>
            </w:pPr>
            <w:r>
              <w:rPr>
                <w:rFonts w:ascii="方正黑体_GBK" w:hAnsi="方正黑体_GBK" w:eastAsia="方正黑体_GBK" w:cs="宋体"/>
                <w:color w:val="000000"/>
                <w:sz w:val="18"/>
                <w:szCs w:val="18"/>
              </w:rPr>
              <w:t>4.按照理财产品销售文件约定的投资范围和权限，负责理财产品资金的运用和管理，向投资者进行收益分配；</w:t>
            </w:r>
          </w:p>
          <w:p>
            <w:pPr>
              <w:spacing w:line="200" w:lineRule="exact"/>
              <w:jc w:val="left"/>
            </w:pPr>
            <w:r>
              <w:rPr>
                <w:rFonts w:ascii="方正黑体_GBK" w:hAnsi="方正黑体_GBK" w:eastAsia="方正黑体_GBK" w:cs="宋体"/>
                <w:color w:val="000000"/>
                <w:sz w:val="18"/>
                <w:szCs w:val="18"/>
              </w:rPr>
              <w:t>5.审慎选择理财产品销售机构，切实履行对销售机构的管理责任；</w:t>
            </w:r>
          </w:p>
          <w:p>
            <w:pPr>
              <w:spacing w:line="200" w:lineRule="exact"/>
              <w:jc w:val="left"/>
            </w:pPr>
            <w:r>
              <w:rPr>
                <w:rFonts w:ascii="方正黑体_GBK" w:hAnsi="方正黑体_GBK" w:eastAsia="方正黑体_GBK" w:cs="宋体"/>
                <w:color w:val="000000"/>
                <w:sz w:val="18"/>
                <w:szCs w:val="18"/>
              </w:rPr>
              <w:t>6.根据法律法规、监管规定建立健全投资者权益保护管理体系；</w:t>
            </w:r>
          </w:p>
          <w:p>
            <w:pPr>
              <w:spacing w:line="200" w:lineRule="exact"/>
              <w:jc w:val="left"/>
            </w:pPr>
            <w:r>
              <w:rPr>
                <w:rFonts w:ascii="方正黑体_GBK" w:hAnsi="方正黑体_GBK" w:eastAsia="方正黑体_GBK" w:cs="宋体"/>
                <w:color w:val="000000"/>
                <w:sz w:val="18"/>
                <w:szCs w:val="18"/>
              </w:rPr>
              <w:t>7.国务院银行业监督管理机构规定及本理财产品销售文件中约定的其他职责。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销售机构及销售机构职责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本理财产品销售机构为南京银行股份有限公司、兴业银行股份有限公司、青岛银行股份有限公司、杭州银行股份有限公司、汉口银行股份有限公司、嘉兴银行股份有限公司、江苏常熟农村商业银行股份有限公司、江苏苏州农村商业银行股份有限公司、长沙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富邦华一银行有限公司、宁波通商银行股份有限公司、日照银行股份有限公司、广州银行股份有限公司、无锡农村商业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江苏灌南农村商业银行股份有限公司、东营银行股份有限公司、潍坊银行股份有限公司。管理人有权调整本理财产品的销售机构并进行信息披露。</w:t>
            </w:r>
          </w:p>
          <w:p>
            <w:pPr>
              <w:spacing w:line="200" w:lineRule="exact"/>
              <w:jc w:val="left"/>
            </w:pPr>
            <w:r>
              <w:rPr>
                <w:rFonts w:ascii="方正黑体_GBK" w:hAnsi="方正黑体_GBK" w:eastAsia="方正黑体_GBK" w:cs="宋体"/>
                <w:sz w:val="18"/>
                <w:szCs w:val="18"/>
              </w:rPr>
              <w:t>销售机构主要职责如下：</w:t>
            </w:r>
          </w:p>
          <w:p>
            <w:pPr>
              <w:spacing w:line="200" w:lineRule="exact"/>
              <w:jc w:val="left"/>
            </w:pPr>
            <w:r>
              <w:rPr>
                <w:rFonts w:ascii="方正黑体_GBK" w:hAnsi="方正黑体_GBK" w:eastAsia="方正黑体_GBK" w:cs="宋体"/>
                <w:sz w:val="18"/>
                <w:szCs w:val="18"/>
              </w:rPr>
              <w:t>1.按照法律法规、监管规定及理财产品销售文件的约定，开展理财产品销售活动，向投资者充分披露信息和揭示风险；</w:t>
            </w:r>
          </w:p>
          <w:p>
            <w:pPr>
              <w:spacing w:line="200" w:lineRule="exact"/>
              <w:jc w:val="left"/>
            </w:pPr>
            <w:r>
              <w:rPr>
                <w:rFonts w:ascii="方正黑体_GBK" w:hAnsi="方正黑体_GBK" w:eastAsia="方正黑体_GBK" w:cs="宋体"/>
                <w:sz w:val="18"/>
                <w:szCs w:val="18"/>
              </w:rPr>
              <w:t>2.对非机构投资者的风险承受能力进行评估，确保投资者风险承受能力评估的客观性、及时性和有效性；</w:t>
            </w:r>
          </w:p>
          <w:p>
            <w:pPr>
              <w:spacing w:line="200" w:lineRule="exact"/>
              <w:jc w:val="left"/>
            </w:pPr>
            <w:r>
              <w:rPr>
                <w:rFonts w:ascii="方正黑体_GBK" w:hAnsi="方正黑体_GBK" w:eastAsia="方正黑体_GBK" w:cs="宋体"/>
                <w:sz w:val="18"/>
                <w:szCs w:val="18"/>
              </w:rPr>
              <w:t>3.妥善保管投资者理财产品销售相关资料，保管年限不低于20年；</w:t>
            </w:r>
          </w:p>
          <w:p>
            <w:pPr>
              <w:spacing w:line="200" w:lineRule="exact"/>
              <w:jc w:val="left"/>
            </w:pPr>
            <w:r>
              <w:rPr>
                <w:rFonts w:ascii="方正黑体_GBK" w:hAnsi="方正黑体_GBK" w:eastAsia="方正黑体_GBK" w:cs="宋体"/>
                <w:sz w:val="18"/>
                <w:szCs w:val="18"/>
              </w:rPr>
              <w:t>4.根据反洗钱、反恐怖融资及非居民金融账户涉税信息尽职调查等相关法律法规要求识别客户身份；</w:t>
            </w:r>
          </w:p>
          <w:p>
            <w:pPr>
              <w:spacing w:line="200" w:lineRule="exact"/>
              <w:jc w:val="left"/>
            </w:pPr>
            <w:r>
              <w:rPr>
                <w:rFonts w:ascii="方正黑体_GBK" w:hAnsi="方正黑体_GBK" w:eastAsia="方正黑体_GBK" w:cs="宋体"/>
                <w:sz w:val="18"/>
                <w:szCs w:val="18"/>
              </w:rPr>
              <w:t>5.建立健全投资者权益保护管理体系，加强投资者适当性管理；</w:t>
            </w:r>
          </w:p>
          <w:p>
            <w:pPr>
              <w:spacing w:line="200" w:lineRule="exact"/>
            </w:pPr>
            <w:r>
              <w:rPr>
                <w:rFonts w:ascii="方正黑体_GBK" w:hAnsi="方正黑体_GBK" w:eastAsia="方正黑体_GBK" w:cs="宋体"/>
                <w:sz w:val="18"/>
                <w:szCs w:val="18"/>
              </w:rPr>
              <w:t>6.国务院银行业监督管理机构规定及本理财产品管理人与销售机构约定的其他职责。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托管人及托管人职责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本理财产品托管人为南京银行股份有限公司，主要职责如下：</w:t>
            </w:r>
          </w:p>
          <w:p>
            <w:pPr>
              <w:spacing w:line="200" w:lineRule="exact"/>
            </w:pPr>
            <w:r>
              <w:rPr>
                <w:rFonts w:ascii="方正黑体_GBK" w:hAnsi="方正黑体_GBK" w:eastAsia="方正黑体_GBK" w:cs="宋体"/>
                <w:sz w:val="18"/>
                <w:szCs w:val="18"/>
              </w:rPr>
              <w:t>1.安全保管理财产品财产；</w:t>
            </w:r>
          </w:p>
          <w:p>
            <w:pPr>
              <w:spacing w:line="200" w:lineRule="exact"/>
            </w:pPr>
            <w:r>
              <w:rPr>
                <w:rFonts w:ascii="方正黑体_GBK" w:hAnsi="方正黑体_GBK" w:eastAsia="方正黑体_GBK" w:cs="宋体"/>
                <w:sz w:val="18"/>
                <w:szCs w:val="18"/>
              </w:rPr>
              <w:t>2.为每只理财产品开设独立的托管账户，不同托管账户中的资产应当相互独立；</w:t>
            </w:r>
          </w:p>
          <w:p>
            <w:pPr>
              <w:spacing w:line="200" w:lineRule="exact"/>
            </w:pPr>
            <w:r>
              <w:rPr>
                <w:rFonts w:ascii="方正黑体_GBK" w:hAnsi="方正黑体_GBK" w:eastAsia="方正黑体_GBK" w:cs="宋体"/>
                <w:sz w:val="18"/>
                <w:szCs w:val="18"/>
              </w:rPr>
              <w:t>3.按照托管协议约定和管理人的投资指令，及时办理清算、交割事宜；</w:t>
            </w:r>
          </w:p>
          <w:p>
            <w:pPr>
              <w:spacing w:line="200" w:lineRule="exact"/>
            </w:pPr>
            <w:r>
              <w:rPr>
                <w:rFonts w:ascii="方正黑体_GBK" w:hAnsi="方正黑体_GBK" w:eastAsia="方正黑体_GBK" w:cs="宋体"/>
                <w:sz w:val="18"/>
                <w:szCs w:val="18"/>
              </w:rPr>
              <w:t>4.建立与管理人的对账机制，复核、审查理财产品资金头寸、资产账目、资产净值、认购和赎回价格等数据，及时核查认购、赎回以及投资资金的支付和到账情况；</w:t>
            </w:r>
          </w:p>
          <w:p>
            <w:pPr>
              <w:spacing w:line="200" w:lineRule="exact"/>
            </w:pPr>
            <w:r>
              <w:rPr>
                <w:rFonts w:ascii="方正黑体_GBK" w:hAnsi="方正黑体_GBK" w:eastAsia="方正黑体_GBK" w:cs="宋体"/>
                <w:sz w:val="18"/>
                <w:szCs w:val="18"/>
              </w:rPr>
              <w:t>5.监督理财产品投资运作，发现理财产品违反法律、行政法规、规章规定或合同约定进行投资的，应当拒绝执行，及时通知管理人并报告银行业监督管理机构；</w:t>
            </w:r>
          </w:p>
          <w:p>
            <w:pPr>
              <w:spacing w:line="200" w:lineRule="exact"/>
            </w:pPr>
            <w:r>
              <w:rPr>
                <w:rFonts w:ascii="方正黑体_GBK" w:hAnsi="方正黑体_GBK" w:eastAsia="方正黑体_GBK"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200" w:lineRule="exact"/>
            </w:pPr>
            <w:r>
              <w:rPr>
                <w:rFonts w:ascii="方正黑体_GBK" w:hAnsi="方正黑体_GBK" w:eastAsia="方正黑体_GBK" w:cs="宋体"/>
                <w:sz w:val="18"/>
                <w:szCs w:val="18"/>
              </w:rPr>
              <w:t>7.理财托管业务活动的记录、账册、报表和其他相关资料保存20年以上；</w:t>
            </w:r>
          </w:p>
          <w:p>
            <w:pPr>
              <w:spacing w:line="200" w:lineRule="exact"/>
            </w:pPr>
            <w:r>
              <w:rPr>
                <w:rFonts w:ascii="方正黑体_GBK" w:hAnsi="方正黑体_GBK" w:eastAsia="方正黑体_GBK" w:cs="宋体"/>
                <w:sz w:val="18"/>
                <w:szCs w:val="18"/>
              </w:rPr>
              <w:t>8.对理财产品投资信息和相关资料承担保密责任，除法律、行政法规、规章规定、审计要求或者合同约定外，不得向任何机构或者个人提供相关信息和资料；</w:t>
            </w:r>
          </w:p>
          <w:p>
            <w:pPr>
              <w:spacing w:line="200" w:lineRule="exact"/>
            </w:pPr>
            <w:r>
              <w:rPr>
                <w:rFonts w:ascii="方正黑体_GBK" w:hAnsi="方正黑体_GBK" w:eastAsia="方正黑体_GBK" w:cs="宋体"/>
                <w:sz w:val="18"/>
                <w:szCs w:val="18"/>
              </w:rPr>
              <w:t>9.国务院银行业监督管理机构规定及本理财产品相关托管协议中约定的其他职责。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拟进行合作的理财投资合作机构</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合作机构为百瑞信托有限责任公司、国联基金管理有限公司、国投泰康信托有限公司、华能贵诚信托有限公司、华鑫国际信托有限公司、江苏省国际信托有限责任公司、交银国际信托有限公司、平安资产管理有限责任公司、太平洋资产管理有限责任公司、太平资产管理有限公司、中国人保资产管理有限公司、中粮信托有限责任公司、鑫元基金管理有限公司，上述投资合作机构主要职责对应如下，具体职责以管理人与投资合作机构签署的合同为准。</w:t>
            </w:r>
          </w:p>
          <w:p>
            <w:pPr>
              <w:spacing w:line="200" w:lineRule="exact"/>
            </w:pPr>
            <w:r>
              <w:rPr>
                <w:rFonts w:ascii="方正黑体_GBK" w:hAnsi="方正黑体_GBK" w:eastAsia="方正黑体_GBK" w:cs="宋体"/>
                <w:sz w:val="18"/>
                <w:szCs w:val="18"/>
              </w:rPr>
              <w:t>1.合作机构为理财产品所投资资产管理产品的发行机构，主要承担资产管理产品的管理人职责：平安资产管理有限责任公司、太平洋资产管理有限责任公司、太平资产管理有限公司、中国人保资产管理有限公司。</w:t>
            </w:r>
          </w:p>
          <w:p>
            <w:pPr>
              <w:spacing w:line="200" w:lineRule="exact"/>
            </w:pPr>
            <w:r>
              <w:rPr>
                <w:rFonts w:ascii="方正黑体_GBK" w:hAnsi="方正黑体_GBK" w:eastAsia="方正黑体_GBK" w:cs="宋体"/>
                <w:sz w:val="18"/>
                <w:szCs w:val="18"/>
              </w:rPr>
              <w:t>2.合作机构为从事理财产品受托投资的机构，主要承担根据合同约定进行受托资金的投资管理的职责：百瑞信托有限责任公司、国联基金管理有限公司、国投泰康信托有限公司、华能贵诚信托有限公司、华鑫国际信托有限公司、江苏省国际信托有限责任公司、交银国际信托有限公司、中粮信托有限责任公司、鑫元基金管理有限公司。</w:t>
            </w:r>
          </w:p>
          <w:p>
            <w:pPr>
              <w:spacing w:line="200" w:lineRule="exact"/>
            </w:pPr>
            <w:r>
              <w:rPr>
                <w:rFonts w:ascii="方正黑体_GBK" w:hAnsi="方正黑体_GBK" w:eastAsia="方正黑体_GBK" w:cs="宋体"/>
                <w:sz w:val="18"/>
                <w:szCs w:val="18"/>
              </w:rPr>
              <w:t>若上述合作机构及其职责发生调整，管理人将在本理财产品的定期报告中进行信息披露。</w:t>
            </w:r>
          </w:p>
          <w:p>
            <w:pPr>
              <w:spacing w:line="200" w:lineRule="exact"/>
            </w:pPr>
            <w:r>
              <w:rPr>
                <w:rFonts w:ascii="方正黑体_GBK" w:hAnsi="方正黑体_GBK" w:eastAsia="方正黑体_GBK" w:cs="宋体"/>
                <w:sz w:val="18"/>
                <w:szCs w:val="18"/>
              </w:rPr>
              <w:t>上述投资合作机构简介：</w:t>
            </w:r>
          </w:p>
          <w:p>
            <w:pPr>
              <w:spacing w:line="200" w:lineRule="exact"/>
            </w:pPr>
            <w:r>
              <w:rPr>
                <w:rFonts w:ascii="方正黑体_GBK" w:hAnsi="方正黑体_GBK" w:eastAsia="方正黑体_GBK" w:cs="宋体"/>
                <w:sz w:val="18"/>
                <w:szCs w:val="18"/>
              </w:rPr>
              <w:t>百瑞信托有限责任公司成立于2002年10月16日，注册资本金400000万元人民币。</w:t>
            </w:r>
          </w:p>
          <w:p>
            <w:pPr>
              <w:spacing w:line="200" w:lineRule="exact"/>
            </w:pPr>
            <w:r>
              <w:rPr>
                <w:rFonts w:ascii="方正黑体_GBK" w:hAnsi="方正黑体_GBK" w:eastAsia="方正黑体_GBK" w:cs="宋体"/>
                <w:sz w:val="18"/>
                <w:szCs w:val="18"/>
              </w:rPr>
              <w:t>国联基金管理有限公司成立于2013年05月31日，注册资本金11.5亿元。</w:t>
            </w:r>
          </w:p>
          <w:p>
            <w:pPr>
              <w:spacing w:line="200" w:lineRule="exact"/>
            </w:pPr>
            <w:r>
              <w:rPr>
                <w:rFonts w:ascii="方正黑体_GBK" w:hAnsi="方正黑体_GBK" w:eastAsia="方正黑体_GBK" w:cs="宋体"/>
                <w:sz w:val="18"/>
                <w:szCs w:val="18"/>
              </w:rPr>
              <w:t>国投泰康信托有限公司成立于1986年06月26日，注册资本金267,054.5454万人民币。</w:t>
            </w:r>
          </w:p>
          <w:p>
            <w:pPr>
              <w:spacing w:line="200" w:lineRule="exact"/>
            </w:pPr>
            <w:r>
              <w:rPr>
                <w:rFonts w:ascii="方正黑体_GBK" w:hAnsi="方正黑体_GBK" w:eastAsia="方正黑体_GBK" w:cs="宋体"/>
                <w:sz w:val="18"/>
                <w:szCs w:val="18"/>
              </w:rPr>
              <w:t>华能贵诚信托有限公司成立于2002年09月29日，注册资本金619,455.7406万元人民币。</w:t>
            </w:r>
          </w:p>
          <w:p>
            <w:pPr>
              <w:spacing w:line="200" w:lineRule="exact"/>
            </w:pPr>
            <w:r>
              <w:rPr>
                <w:rFonts w:ascii="方正黑体_GBK" w:hAnsi="方正黑体_GBK" w:eastAsia="方正黑体_GBK" w:cs="宋体"/>
                <w:sz w:val="18"/>
                <w:szCs w:val="18"/>
              </w:rPr>
              <w:t>华鑫国际信托有限公司成立于1984年06月01日，注册资本金73.95亿元。</w:t>
            </w:r>
          </w:p>
          <w:p>
            <w:pPr>
              <w:spacing w:line="200" w:lineRule="exact"/>
            </w:pPr>
            <w:r>
              <w:rPr>
                <w:rFonts w:ascii="方正黑体_GBK" w:hAnsi="方正黑体_GBK" w:eastAsia="方正黑体_GBK" w:cs="宋体"/>
                <w:sz w:val="18"/>
                <w:szCs w:val="18"/>
              </w:rPr>
              <w:t>江苏省国际信托有限责任公司成立于1992年06月01日，注册资本金87.60亿元。</w:t>
            </w:r>
          </w:p>
          <w:p>
            <w:pPr>
              <w:spacing w:line="200" w:lineRule="exact"/>
            </w:pPr>
            <w:r>
              <w:rPr>
                <w:rFonts w:ascii="方正黑体_GBK" w:hAnsi="方正黑体_GBK" w:eastAsia="方正黑体_GBK" w:cs="宋体"/>
                <w:sz w:val="18"/>
                <w:szCs w:val="18"/>
              </w:rPr>
              <w:t>交银国际信托有限公司成立于1983年11月23日，注册资本金57.65亿元。</w:t>
            </w:r>
          </w:p>
          <w:p>
            <w:pPr>
              <w:spacing w:line="200" w:lineRule="exact"/>
            </w:pPr>
            <w:r>
              <w:rPr>
                <w:rFonts w:ascii="方正黑体_GBK" w:hAnsi="方正黑体_GBK" w:eastAsia="方正黑体_GBK" w:cs="宋体"/>
                <w:sz w:val="18"/>
                <w:szCs w:val="18"/>
              </w:rPr>
              <w:t>平安资产管理有限责任公司成立于2005年05月27日，注册资本金15亿元。</w:t>
            </w:r>
          </w:p>
          <w:p>
            <w:pPr>
              <w:spacing w:line="200" w:lineRule="exact"/>
            </w:pPr>
            <w:r>
              <w:rPr>
                <w:rFonts w:ascii="方正黑体_GBK" w:hAnsi="方正黑体_GBK" w:eastAsia="方正黑体_GBK" w:cs="宋体"/>
                <w:sz w:val="18"/>
                <w:szCs w:val="18"/>
              </w:rPr>
              <w:t>太平洋资产管理有限责任公司成立于2006年06月09日，注册资本金21亿元。</w:t>
            </w:r>
          </w:p>
          <w:p>
            <w:pPr>
              <w:spacing w:line="200" w:lineRule="exact"/>
            </w:pPr>
            <w:r>
              <w:rPr>
                <w:rFonts w:ascii="方正黑体_GBK" w:hAnsi="方正黑体_GBK" w:eastAsia="方正黑体_GBK" w:cs="宋体"/>
                <w:sz w:val="18"/>
                <w:szCs w:val="18"/>
              </w:rPr>
              <w:t>太平资产管理有限公司成立于2006年09月01日，注册资本金10亿元。</w:t>
            </w:r>
          </w:p>
          <w:p>
            <w:pPr>
              <w:spacing w:line="200" w:lineRule="exact"/>
            </w:pPr>
            <w:r>
              <w:rPr>
                <w:rFonts w:ascii="方正黑体_GBK" w:hAnsi="方正黑体_GBK" w:eastAsia="方正黑体_GBK" w:cs="宋体"/>
                <w:sz w:val="18"/>
                <w:szCs w:val="18"/>
              </w:rPr>
              <w:t>中国人保资产管理有限公司成立于2003年07月16日，注册资本金12.98亿元。</w:t>
            </w:r>
          </w:p>
          <w:p>
            <w:pPr>
              <w:spacing w:line="200" w:lineRule="exact"/>
            </w:pPr>
            <w:r>
              <w:rPr>
                <w:rFonts w:ascii="方正黑体_GBK" w:hAnsi="方正黑体_GBK" w:eastAsia="方正黑体_GBK" w:cs="宋体"/>
                <w:sz w:val="18"/>
                <w:szCs w:val="18"/>
              </w:rPr>
              <w:t>中粮信托有限责任公司成立于2009年07月27日，注册资本金28.3亿元。</w:t>
            </w:r>
          </w:p>
          <w:p>
            <w:pPr>
              <w:spacing w:line="200" w:lineRule="exact"/>
            </w:pPr>
            <w:r>
              <w:rPr>
                <w:rFonts w:ascii="方正黑体_GBK" w:hAnsi="方正黑体_GBK" w:eastAsia="方正黑体_GBK" w:cs="宋体"/>
                <w:sz w:val="18"/>
                <w:szCs w:val="18"/>
              </w:rPr>
              <w:t>鑫元基金管理有限公司成立于2013年08月29日，注册资本金17亿元。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其他说明事项</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color w:val="000000"/>
                <w:sz w:val="18"/>
                <w:szCs w:val="18"/>
              </w:rPr>
              <w:t>1.本理财产品为封闭式产品，在封闭期内不开放申购/赎回，投资者应考虑产品期限并合理安排自身投资计划。</w:t>
            </w:r>
          </w:p>
          <w:p>
            <w:pPr>
              <w:spacing w:line="200" w:lineRule="exact"/>
              <w:jc w:val="left"/>
            </w:pPr>
            <w:r>
              <w:rPr>
                <w:rFonts w:ascii="方正黑体_GBK" w:hAnsi="方正黑体_GBK" w:eastAsia="方正黑体_GBK" w:cs="宋体"/>
                <w:color w:val="000000"/>
                <w:sz w:val="18"/>
                <w:szCs w:val="18"/>
              </w:rPr>
              <w:t>2.管理人在本理财产品存续期间按照监管规定进行信息披露，详见本理财产品说明书第五条信息披露。</w:t>
            </w:r>
          </w:p>
          <w:p>
            <w:pPr>
              <w:spacing w:line="200" w:lineRule="exact"/>
              <w:jc w:val="left"/>
            </w:pPr>
            <w:r>
              <w:rPr>
                <w:rFonts w:ascii="方正黑体_GBK" w:hAnsi="方正黑体_GBK" w:eastAsia="方正黑体_GBK" w:cs="宋体"/>
                <w:color w:val="000000"/>
                <w:sz w:val="18"/>
                <w:szCs w:val="18"/>
              </w:rPr>
              <w:t>3.本理财产品投资的资产管理产品的业绩报酬、赎回费等的提取（如有）可能造成本理财产品净值的下降。</w:t>
            </w:r>
          </w:p>
          <w:p>
            <w:pPr>
              <w:spacing w:line="200" w:lineRule="exact"/>
              <w:jc w:val="left"/>
            </w:pPr>
            <w:r>
              <w:rPr>
                <w:rFonts w:ascii="方正黑体_GBK" w:hAnsi="方正黑体_GBK" w:eastAsia="方正黑体_GBK" w:cs="宋体"/>
                <w:b/>
                <w:color w:val="000000"/>
                <w:sz w:val="18"/>
                <w:szCs w:val="18"/>
              </w:rPr>
              <w:t>4.本理财产品可能投资不存在活跃交易市场且需要采用估值技术确定公允价值的资产，且计划投资前述资产的比例达到本理财产品净资产50%以上（“以上”含本数）。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税务处理</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pPr>
        <w:pStyle w:val="36"/>
        <w:rPr>
          <w:rFonts w:hint="eastAsia" w:ascii="方正黑体_GBK" w:hAnsi="方正黑体_GBK" w:eastAsia="方正黑体_GBK"/>
          <w:b/>
          <w:sz w:val="15"/>
          <w:szCs w:val="15"/>
        </w:rPr>
      </w:pPr>
      <w:r>
        <w:rPr>
          <w:rFonts w:ascii="方正黑体_GBK" w:hAnsi="方正黑体_GBK" w:eastAsia="方正黑体_GBK"/>
          <w:b/>
          <w:caps w:val="0"/>
          <w:smallCaps w:val="0"/>
          <w:snapToGrid/>
          <w:vanish w:val="0"/>
          <w:color w:val="auto"/>
          <w:sz w:val="15"/>
          <w:szCs w:val="15"/>
          <w:vertAlign w:val="baseline"/>
        </w:rPr>
        <w:t>特别说明：本理财产品无预期收益率，</w:t>
      </w:r>
      <w:r>
        <w:rPr>
          <w:rFonts w:ascii="方正黑体_GBK" w:hAnsi="方正黑体_GBK" w:eastAsia="方正黑体_GBK"/>
          <w:b/>
          <w:caps w:val="0"/>
          <w:smallCaps w:val="0"/>
          <w:snapToGrid/>
          <w:vanish w:val="0"/>
          <w:color w:val="auto"/>
          <w:sz w:val="15"/>
          <w:szCs w:val="15"/>
          <w:u w:val="single"/>
          <w:vertAlign w:val="baseline"/>
        </w:rPr>
        <w:t>理财产品过往业绩不代表其未来表现，不等于理财产品实际收益，</w:t>
      </w:r>
      <w:r>
        <w:rPr>
          <w:rFonts w:ascii="方正黑体_GBK" w:hAnsi="方正黑体_GBK" w:eastAsia="方正黑体_GBK"/>
          <w:b/>
          <w:caps w:val="0"/>
          <w:smallCaps w:val="0"/>
          <w:snapToGrid/>
          <w:vanish w:val="0"/>
          <w:color w:val="auto"/>
          <w:sz w:val="15"/>
          <w:szCs w:val="15"/>
          <w:vertAlign w:val="baseline"/>
        </w:rPr>
        <w:t>投资须谨慎。</w:t>
      </w:r>
    </w:p>
    <w:p>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第二条</w:t>
      </w:r>
      <w:r>
        <w:rPr>
          <w:rFonts w:hint="eastAsia" w:ascii="方正黑体_GBK" w:hAnsi="方正黑体_GBK" w:eastAsia="方正黑体_GBK" w:cs="Times New Roman"/>
          <w:b/>
          <w:bCs/>
          <w:vanish w:val="0"/>
          <w:color w:val="3D3D3D"/>
          <w:kern w:val="0"/>
          <w:sz w:val="15"/>
          <w:szCs w:val="15"/>
        </w:rPr>
        <w:t xml:space="preserve">  </w:t>
      </w:r>
      <w:r>
        <w:rPr>
          <w:rFonts w:hint="eastAsia" w:ascii="方正黑体_GBK" w:hAnsi="方正黑体_GBK" w:eastAsia="方正黑体_GBK"/>
          <w:b/>
          <w:bCs/>
          <w:vanish w:val="0"/>
          <w:color w:val="3D3D3D"/>
          <w:kern w:val="0"/>
          <w:sz w:val="15"/>
          <w:szCs w:val="15"/>
        </w:rPr>
        <w:t>名词释义</w:t>
      </w:r>
    </w:p>
    <w:p>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在本理财产品说明书中，除非上下文另有明确约定，下列用词将具有如下含义：</w:t>
      </w:r>
    </w:p>
    <w:p>
      <w:pPr>
        <w:pStyle w:val="3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参与主体用语</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1.南银理财/管理人/</w:t>
      </w:r>
      <w:r>
        <w:rPr>
          <w:rFonts w:hint="eastAsia" w:ascii="方正黑体_GBK" w:hAnsi="方正黑体_GBK" w:eastAsia="方正黑体_GBK"/>
          <w:color w:val="3D3D3D"/>
          <w:kern w:val="0"/>
          <w:sz w:val="15"/>
          <w:szCs w:val="15"/>
          <w:highlight w:val="none"/>
          <w:lang w:val="en-US" w:eastAsia="zh-CN"/>
        </w:rPr>
        <w:t>产品管理人/</w:t>
      </w:r>
      <w:r>
        <w:rPr>
          <w:rFonts w:ascii="方正黑体_GBK" w:hAnsi="方正黑体_GBK" w:eastAsia="方正黑体_GBK"/>
          <w:color w:val="3D3D3D"/>
          <w:kern w:val="0"/>
          <w:sz w:val="15"/>
          <w:szCs w:val="15"/>
          <w:highlight w:val="none"/>
        </w:rPr>
        <w:t>理财产品管理人：指南银理财有限责任公司。</w:t>
      </w:r>
    </w:p>
    <w:p>
      <w:pPr>
        <w:pStyle w:val="38"/>
        <w:keepNext w:val="0"/>
        <w:keepLines w:val="0"/>
        <w:pageBreakBefore w:val="0"/>
        <w:widowControl/>
        <w:suppressLineNumbers w:val="0"/>
        <w:tabs>
          <w:tab w:val="left" w:pos="567"/>
        </w:tabs>
        <w:suppressAutoHyphens w:val="0"/>
        <w:spacing w:line="200" w:lineRule="exact"/>
        <w:ind w:firstLine="0"/>
        <w:outlineLvl w:val="1"/>
        <w:rPr>
          <w:color w:val="3D3D3D"/>
          <w:kern w:val="0"/>
          <w:sz w:val="15"/>
          <w:szCs w:val="15"/>
          <w:highlight w:val="none"/>
        </w:rPr>
      </w:pPr>
      <w:r>
        <w:rPr>
          <w:rFonts w:hint="eastAsia" w:ascii="方正黑体_GBK" w:hAnsi="方正黑体_GBK" w:eastAsia="方正黑体_GBK"/>
          <w:color w:val="3D3D3D"/>
          <w:kern w:val="0"/>
          <w:sz w:val="15"/>
          <w:szCs w:val="15"/>
          <w:highlight w:val="none"/>
          <w:lang w:eastAsia="zh-CN"/>
        </w:rPr>
        <w:t xml:space="preserve">     2.销售</w:t>
      </w:r>
      <w:r>
        <w:rPr>
          <w:rFonts w:hint="eastAsia" w:ascii="方正黑体_GBK" w:hAnsi="方正黑体_GBK" w:eastAsia="方正黑体_GBK"/>
          <w:color w:val="3D3D3D"/>
          <w:kern w:val="0"/>
          <w:sz w:val="15"/>
          <w:szCs w:val="15"/>
          <w:highlight w:val="none"/>
        </w:rPr>
        <w:t>机构：指</w:t>
      </w:r>
      <w:r>
        <w:rPr>
          <w:rFonts w:hint="eastAsia" w:ascii="方正黑体_GBK" w:hAnsi="方正黑体_GBK" w:eastAsia="方正黑体_GBK"/>
          <w:color w:val="3D3D3D"/>
          <w:kern w:val="0"/>
          <w:sz w:val="15"/>
          <w:szCs w:val="15"/>
          <w:highlight w:val="none"/>
          <w:lang w:eastAsia="zh-CN"/>
        </w:rPr>
        <w:t>本</w:t>
      </w:r>
      <w:r>
        <w:rPr>
          <w:rFonts w:hint="eastAsia" w:ascii="方正黑体_GBK" w:hAnsi="方正黑体_GBK" w:eastAsia="方正黑体_GBK"/>
          <w:color w:val="3D3D3D"/>
          <w:kern w:val="0"/>
          <w:sz w:val="15"/>
          <w:szCs w:val="15"/>
          <w:highlight w:val="none"/>
        </w:rPr>
        <w:t>理财产品的销售机构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包括</w:t>
      </w:r>
      <w:r>
        <w:rPr>
          <w:rFonts w:hint="eastAsia" w:ascii="方正黑体_GBK" w:hAnsi="方正黑体_GBK" w:eastAsia="方正黑体_GBK"/>
          <w:color w:val="3D3D3D"/>
          <w:kern w:val="0"/>
          <w:sz w:val="15"/>
          <w:szCs w:val="15"/>
          <w:highlight w:val="none"/>
        </w:rPr>
        <w:t>销售本公司发行理财产品的理财公司</w:t>
      </w:r>
      <w:r>
        <w:rPr>
          <w:rFonts w:hint="eastAsia" w:ascii="方正黑体_GBK" w:hAnsi="方正黑体_GBK" w:eastAsia="方正黑体_GBK"/>
          <w:color w:val="3D3D3D"/>
          <w:kern w:val="0"/>
          <w:sz w:val="15"/>
          <w:szCs w:val="15"/>
          <w:highlight w:val="none"/>
          <w:lang w:val="en-US" w:eastAsia="zh-CN"/>
        </w:rPr>
        <w:t>即南银理财，以及</w:t>
      </w:r>
      <w:r>
        <w:rPr>
          <w:rFonts w:hint="eastAsia" w:ascii="方正黑体_GBK" w:hAnsi="方正黑体_GBK" w:eastAsia="方正黑体_GBK"/>
          <w:color w:val="3D3D3D"/>
          <w:kern w:val="0"/>
          <w:sz w:val="15"/>
          <w:szCs w:val="15"/>
          <w:highlight w:val="none"/>
        </w:rPr>
        <w:t>接受</w:t>
      </w:r>
      <w:r>
        <w:rPr>
          <w:rFonts w:hint="eastAsia" w:ascii="方正黑体_GBK" w:hAnsi="方正黑体_GBK" w:eastAsia="方正黑体_GBK"/>
          <w:color w:val="3D3D3D"/>
          <w:kern w:val="0"/>
          <w:sz w:val="15"/>
          <w:szCs w:val="15"/>
          <w:highlight w:val="none"/>
          <w:lang w:val="en-US" w:eastAsia="zh-CN"/>
        </w:rPr>
        <w:t>南银理财</w:t>
      </w:r>
      <w:r>
        <w:rPr>
          <w:rFonts w:hint="eastAsia" w:ascii="方正黑体_GBK" w:hAnsi="方正黑体_GBK" w:eastAsia="方正黑体_GBK"/>
          <w:color w:val="3D3D3D"/>
          <w:kern w:val="0"/>
          <w:sz w:val="15"/>
          <w:szCs w:val="15"/>
          <w:highlight w:val="none"/>
        </w:rPr>
        <w:t>委托销售其发行理财产品的代理销售机构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代销机构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rPr>
        <w:t>。</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3.托管人：</w:t>
      </w:r>
      <w:r>
        <w:rPr>
          <w:rFonts w:hint="eastAsia" w:ascii="方正黑体_GBK" w:hAnsi="方正黑体_GBK" w:eastAsia="方正黑体_GBK"/>
          <w:color w:val="3D3D3D"/>
          <w:kern w:val="0"/>
          <w:sz w:val="15"/>
          <w:szCs w:val="15"/>
          <w:highlight w:val="none"/>
        </w:rPr>
        <w:t>指根据管理人委托，对理财产品财产进行托管的机构</w:t>
      </w:r>
      <w:r>
        <w:rPr>
          <w:rFonts w:ascii="方正黑体_GBK" w:hAnsi="方正黑体_GBK" w:eastAsia="方正黑体_GBK"/>
          <w:color w:val="3D3D3D"/>
          <w:kern w:val="0"/>
          <w:sz w:val="15"/>
          <w:szCs w:val="15"/>
          <w:highlight w:val="none"/>
        </w:rPr>
        <w:t>。</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人：指在募集期</w:t>
      </w:r>
      <w:r>
        <w:rPr>
          <w:rFonts w:hint="eastAsia" w:ascii="方正黑体_GBK" w:hAnsi="方正黑体_GBK" w:eastAsia="方正黑体_GBK"/>
          <w:color w:val="3D3D3D"/>
          <w:kern w:val="0"/>
          <w:sz w:val="15"/>
          <w:szCs w:val="15"/>
          <w:highlight w:val="none"/>
        </w:rPr>
        <w:t>/开放期</w:t>
      </w:r>
      <w:r>
        <w:rPr>
          <w:rFonts w:ascii="方正黑体_GBK" w:hAnsi="方正黑体_GBK" w:eastAsia="方正黑体_GBK"/>
          <w:color w:val="3D3D3D"/>
          <w:kern w:val="0"/>
          <w:sz w:val="15"/>
          <w:szCs w:val="15"/>
          <w:highlight w:val="none"/>
        </w:rPr>
        <w:t>期间签署本理财产品销售文件并向理财产品管理人交付认购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资金的投资者。</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5.理财产品份额持有人/持有人：指其认购或申购申请，经过管理人确认认购或申购成功，从而持有理财产品份额的投资者。</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6.投资者：指购买南银理财发行的相关理财产品的符合相关法律法规及监管要求的个人或机构。</w:t>
      </w:r>
    </w:p>
    <w:p>
      <w:pPr>
        <w:pStyle w:val="3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法律文件用语</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1.销售协议书：指本理财产品对应的《理财产品销售协议书》以及对该文件的有效修改或补充。</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2.产品说明书/本理财产品说明书：指本《理财产品说明书》以及对</w:t>
      </w:r>
      <w:r>
        <w:rPr>
          <w:rFonts w:hint="eastAsia" w:ascii="方正黑体_GBK" w:hAnsi="方正黑体_GBK" w:eastAsia="方正黑体_GBK"/>
          <w:color w:val="3D3D3D"/>
          <w:kern w:val="0"/>
          <w:sz w:val="15"/>
          <w:szCs w:val="15"/>
          <w:highlight w:val="none"/>
          <w:lang w:eastAsia="zh-CN"/>
        </w:rPr>
        <w:t>该文件</w:t>
      </w:r>
      <w:r>
        <w:rPr>
          <w:rFonts w:ascii="方正黑体_GBK" w:hAnsi="方正黑体_GBK" w:eastAsia="方正黑体_GBK"/>
          <w:color w:val="3D3D3D"/>
          <w:kern w:val="0"/>
          <w:sz w:val="15"/>
          <w:szCs w:val="15"/>
          <w:highlight w:val="none"/>
        </w:rPr>
        <w:t>的有效修改或补充。</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3.风险揭示书：指本理财产品对应的《理财产品风险揭示书》以及对该文件的有效修改或补充。</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4.投资者权益须知：指本理财产品对应的《投资者权益须知》以及对该文件的有效修改或补充。</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5.投资协议书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指本理财产品对应的《理财产品投资协议书》以及对该文件的有效修改或补充。</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6.销售文件：指本理财产品对应的产品说明书、风险揭示书、投资者权益须知</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销售协议书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投资协议书等。</w:t>
      </w:r>
      <w:r>
        <w:rPr>
          <w:rFonts w:ascii="方正黑体_GBK" w:hAnsi="方正黑体_GBK" w:eastAsia="方正黑体_GBK"/>
          <w:bCs/>
          <w:color w:val="3D3D3D"/>
          <w:kern w:val="0"/>
          <w:sz w:val="15"/>
          <w:szCs w:val="15"/>
          <w:highlight w:val="none"/>
        </w:rPr>
        <w:t>上述文件共同构成本理财产品完整且不可分割的销售文件。</w:t>
      </w:r>
    </w:p>
    <w:p>
      <w:pPr>
        <w:pStyle w:val="3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期间与日期</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1.募集期：指管理人确定的接受投资者认购本理财产品的起止期限。</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2.开放期：指管理人确定的除募集期外接受投资者申购、赎回本理财产品的起止期限。</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3.提前终止权行使日：指管理人行使提前终止权的日期，即本理财产品被提前终止、开始停止计算收益的日期。</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5.认购、申购、赎回确认日：指投资者认购、申购、赎回理财产品最终确认日期。</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7.产品存续期：指理财产品成立至终止的期间。</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8.名义到期日：指在管理人未对本理财产品提前终止或延期终止的情况下本理财产品的到期日期。</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10.工作日：指除国家法定节假日和休息日（包括周六、周日）外的日期。</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11.交易日：指上海证券交易所和深圳证券交易所的正常开盘交易日。</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12.支付日：指根据本理财产品说明书约定向销售文件约定的投资者授权指定账户划付理财产品资金之日。</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13.赎回或到期清算分配资金到账日：指赎回或到期清算分配资金划入销售文件约定的投资者授权指定账户之日。</w:t>
      </w:r>
    </w:p>
    <w:p>
      <w:pPr>
        <w:pStyle w:val="3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理财产品用语</w:t>
      </w:r>
    </w:p>
    <w:p>
      <w:pPr>
        <w:pStyle w:val="38"/>
        <w:keepNext w:val="0"/>
        <w:keepLines w:val="0"/>
        <w:pageBreakBefore w:val="0"/>
        <w:widowControl/>
        <w:suppressLineNumbers w:val="0"/>
        <w:tabs>
          <w:tab w:val="left" w:pos="567"/>
        </w:tabs>
        <w:suppressAutoHyphens w:val="0"/>
        <w:spacing w:line="200" w:lineRule="exact"/>
        <w:ind w:left="289" w:firstLine="0"/>
        <w:rPr>
          <w:rFonts w:ascii="方正黑体_GBK" w:hAnsi="方正黑体_GBK" w:eastAsia="方正黑体_GBK"/>
          <w:vanish w:val="0"/>
          <w:color w:val="3D3D3D"/>
          <w:kern w:val="0"/>
          <w:sz w:val="15"/>
          <w:szCs w:val="15"/>
        </w:rPr>
      </w:pPr>
      <w:r>
        <w:rPr>
          <w:rFonts w:ascii="方正黑体_GBK" w:hAnsi="方正黑体_GBK" w:eastAsia="方正黑体_GBK"/>
          <w:color w:val="3D3D3D"/>
          <w:kern w:val="0"/>
          <w:sz w:val="15"/>
          <w:szCs w:val="15"/>
          <w:highlight w:val="none"/>
        </w:rPr>
        <w:t xml:space="preserve"> 1.本理财产品/理财产品：</w:t>
      </w:r>
      <w:r>
        <w:rPr>
          <w:rFonts w:hint="eastAsia" w:ascii="方正黑体_GBK" w:hAnsi="方正黑体_GBK" w:eastAsia="方正黑体_GBK" w:cs="Times New Roman"/>
          <w:vanish w:val="0"/>
          <w:color w:val="3D3D3D"/>
          <w:kern w:val="0"/>
          <w:sz w:val="15"/>
          <w:szCs w:val="15"/>
        </w:rPr>
        <w:t xml:space="preserve"> </w:t>
      </w:r>
      <w:r>
        <w:rPr>
          <w:rFonts w:ascii="方正黑体_GBK" w:hAnsi="方正黑体_GBK" w:eastAsia="方正黑体_GBK"/>
          <w:b/>
          <w:bCs/>
          <w:caps w:val="0"/>
          <w:smallCaps w:val="0"/>
          <w:snapToGrid/>
          <w:vanish w:val="0"/>
          <w:color w:val="3D3D3D"/>
          <w:kern w:val="0"/>
          <w:sz w:val="15"/>
          <w:szCs w:val="15"/>
          <w:vertAlign w:val="baseline"/>
          <w:lang w:val="en-US" w:eastAsia="zh-CN"/>
        </w:rPr>
        <w:t>南银理财珠联璧合鑫逸稳三个月51期封闭式公募人民币理财产品</w:t>
      </w:r>
      <w:r>
        <w:rPr>
          <w:rFonts w:hint="eastAsia" w:ascii="方正黑体_GBK" w:hAnsi="方正黑体_GBK" w:eastAsia="方正黑体_GBK"/>
          <w:vanish w:val="0"/>
          <w:color w:val="3D3D3D"/>
          <w:kern w:val="0"/>
          <w:sz w:val="15"/>
          <w:szCs w:val="15"/>
        </w:rPr>
        <w:t>。</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3.投资收益：指投资者投资理财产品份额获得的投资收益，该收益为其获得分配的全部理财产品赎回资金或到期清算分配资金中扣除投资本金的部分。</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4.理财产品份额/产品份额：指投资者持有本理财产品的单位数额。投资者基于其所持有的理财产品单位数额享有理财产品利益、承担理财产品风险。</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pPr>
        <w:pStyle w:val="38"/>
        <w:keepNext w:val="0"/>
        <w:keepLines w:val="0"/>
        <w:pageBreakBefore w:val="0"/>
        <w:widowControl/>
        <w:suppressLineNumbers w:val="0"/>
        <w:tabs>
          <w:tab w:val="left" w:pos="567"/>
        </w:tabs>
        <w:suppressAutoHyphens w:val="0"/>
        <w:spacing w:line="200" w:lineRule="exact"/>
        <w:ind w:left="289" w:firstLine="0"/>
        <w:outlineLvl w:val="1"/>
      </w:pPr>
      <w:r>
        <w:rPr>
          <w:rFonts w:ascii="方正黑体_GBK" w:hAnsi="方正黑体_GBK" w:eastAsia="方正黑体_GBK"/>
          <w:color w:val="3D3D3D"/>
          <w:kern w:val="0"/>
          <w:sz w:val="15"/>
          <w:szCs w:val="15"/>
          <w:highlight w:val="none"/>
        </w:rPr>
        <w:t xml:space="preserve"> 6.单位净值/产品每份额净值：指理财产品每单位份额的净值，即每1份理财产品份额以人民币计价的价格。</w:t>
      </w:r>
      <w:r>
        <w:rPr>
          <w:rFonts w:ascii="方正黑体_GBK" w:hAnsi="方正黑体_GBK" w:eastAsia="方正黑体_GBK"/>
          <w:bCs/>
          <w:color w:val="3D3D3D"/>
          <w:kern w:val="0"/>
          <w:sz w:val="15"/>
          <w:szCs w:val="15"/>
          <w:highlight w:val="none"/>
        </w:rPr>
        <w:t>产品份额净值=产品资产净值/产品总份额。投资者按该份额净值进行理财产品认购、申购和赎回、获得到期/终止时分配。</w:t>
      </w:r>
      <w:r>
        <w:rPr>
          <w:rFonts w:ascii="方正黑体_GBK" w:hAnsi="方正黑体_GBK" w:eastAsia="方正黑体_GBK"/>
          <w:color w:val="3D3D3D"/>
          <w:kern w:val="0"/>
          <w:sz w:val="15"/>
          <w:szCs w:val="15"/>
        </w:rPr>
        <w:t>产品份额净值按去尾法保留4位小数。</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7.理财产品估值/估值：指计算评估理财产品资产以确定理财产品份额单位净值的过程。</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8.业绩比较基准：指管理人基于</w:t>
      </w:r>
      <w:r>
        <w:rPr>
          <w:rFonts w:hint="eastAsia" w:ascii="方正黑体_GBK" w:hAnsi="方正黑体_GBK" w:eastAsia="方正黑体_GBK"/>
          <w:color w:val="3D3D3D"/>
          <w:kern w:val="0"/>
          <w:sz w:val="15"/>
          <w:szCs w:val="15"/>
          <w:highlight w:val="none"/>
          <w:lang w:val="en-US" w:eastAsia="zh-CN"/>
        </w:rPr>
        <w:t>产品性质、投资策略、</w:t>
      </w:r>
      <w:r>
        <w:rPr>
          <w:rFonts w:ascii="方正黑体_GBK" w:hAnsi="方正黑体_GBK" w:eastAsia="方正黑体_GBK"/>
          <w:color w:val="3D3D3D"/>
          <w:kern w:val="0"/>
          <w:sz w:val="15"/>
          <w:szCs w:val="15"/>
          <w:highlight w:val="none"/>
        </w:rPr>
        <w:t>过往投资经验及对产品存续期投资市场波动的预判而对本理财产品所设定的投资目标，业绩比较基准不代表本理财产品的未来表现和实际收益，</w:t>
      </w:r>
      <w:r>
        <w:rPr>
          <w:rFonts w:hint="eastAsia" w:ascii="方正黑体_GBK" w:hAnsi="方正黑体_GBK" w:eastAsia="方正黑体_GBK"/>
          <w:color w:val="3D3D3D"/>
          <w:kern w:val="0"/>
          <w:sz w:val="15"/>
          <w:szCs w:val="15"/>
          <w:highlight w:val="none"/>
          <w:lang w:val="en-US" w:eastAsia="zh-CN"/>
        </w:rPr>
        <w:t>不构成</w:t>
      </w:r>
      <w:r>
        <w:rPr>
          <w:rFonts w:ascii="方正黑体_GBK" w:hAnsi="方正黑体_GBK" w:eastAsia="方正黑体_GBK"/>
          <w:color w:val="3D3D3D"/>
          <w:kern w:val="0"/>
          <w:sz w:val="15"/>
          <w:szCs w:val="15"/>
          <w:highlight w:val="none"/>
        </w:rPr>
        <w:t>管理人对本理财产品收益</w:t>
      </w:r>
      <w:r>
        <w:rPr>
          <w:rFonts w:hint="eastAsia" w:ascii="方正黑体_GBK" w:hAnsi="方正黑体_GBK" w:eastAsia="方正黑体_GBK"/>
          <w:color w:val="3D3D3D"/>
          <w:kern w:val="0"/>
          <w:sz w:val="15"/>
          <w:szCs w:val="15"/>
          <w:highlight w:val="none"/>
          <w:lang w:val="en-US" w:eastAsia="zh-CN"/>
        </w:rPr>
        <w:t>的</w:t>
      </w:r>
      <w:r>
        <w:rPr>
          <w:rFonts w:ascii="方正黑体_GBK" w:hAnsi="方正黑体_GBK" w:eastAsia="方正黑体_GBK"/>
          <w:color w:val="3D3D3D"/>
          <w:kern w:val="0"/>
          <w:sz w:val="15"/>
          <w:szCs w:val="15"/>
          <w:highlight w:val="none"/>
        </w:rPr>
        <w:t>承诺。</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9.认购：指投资者根据产品说明书约定在募集期内申请购买本理财产品的理财产品份额的行为。</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10.申购、赎回申请：指在理财产品的开放期内，投资者向理财产品管理人提出申请对理财产品份额进行购买或卖出的行为。</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11.提前终止/延期终止权：指在本理财产品存续期内，管理人单方面根据本理财产品销售文件的约定提前终止/延期终止本理财产品的权利。</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12.授权指定账户：指投资者用于支付理财产品的认购或申购资金，并用于接收理财产品分红或赎回或到期清算分配款项的银行账户。</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13.固定收益类理财产品：指投资于存款、债券等债权类资产的比例不低于80%的理财产品。</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14.权益类理财产品：指投资于权益类资产的比例不低于80%的理财产品。</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15.商品及金融衍生品类理财产品：指投资于商品及金融衍生品的比例不低于80%的理财产品。</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16.混合类理财产品：指投资于债权类资产、权益类资产、商品及金融衍生品类资产且任一资产的投资比例</w:t>
      </w:r>
      <w:r>
        <w:rPr>
          <w:rFonts w:hint="eastAsia" w:ascii="方正黑体_GBK" w:hAnsi="方正黑体_GBK" w:eastAsia="方正黑体_GBK"/>
          <w:color w:val="3D3D3D"/>
          <w:kern w:val="0"/>
          <w:sz w:val="15"/>
          <w:szCs w:val="15"/>
        </w:rPr>
        <w:t>均</w:t>
      </w:r>
      <w:r>
        <w:rPr>
          <w:rFonts w:ascii="方正黑体_GBK" w:hAnsi="方正黑体_GBK" w:eastAsia="方正黑体_GBK"/>
          <w:color w:val="3D3D3D"/>
          <w:kern w:val="0"/>
          <w:sz w:val="15"/>
          <w:szCs w:val="15"/>
        </w:rPr>
        <w:t>未达到80%的理财产品。</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17.公募理财产品：指面向不特定社会公众公开发行的理财产品。</w:t>
      </w:r>
    </w:p>
    <w:p>
      <w:pPr>
        <w:pStyle w:val="38"/>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18.私募理财产品：指面向合格投资者非公开发行的理财产品。</w:t>
      </w:r>
    </w:p>
    <w:p>
      <w:pPr>
        <w:pStyle w:val="3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其他</w:t>
      </w:r>
    </w:p>
    <w:p>
      <w:pPr>
        <w:pStyle w:val="38"/>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pPr>
        <w:pStyle w:val="3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自然灾害、地震、台风、海啸、洪水、火灾、停电、突发性公共卫生事件；</w:t>
      </w:r>
    </w:p>
    <w:p>
      <w:pPr>
        <w:pStyle w:val="3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罢工、内战、战争、军事行动、任何种类的恐怖活动、暴动、公众示威或抗议；</w:t>
      </w:r>
    </w:p>
    <w:p>
      <w:pPr>
        <w:pStyle w:val="3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新的适用法律或国家政策的颁布或实施、对原适用法律或国家政策的修改；</w:t>
      </w:r>
    </w:p>
    <w:p>
      <w:pPr>
        <w:pStyle w:val="3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任何政府机关或其他机关的行为</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不论是在法律上或是在事实上</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、法律、法规、条例、规则、规定、裁决、命令或指令（包括国有化或对外限制、外汇管制）、诉讼或威胁；</w:t>
      </w:r>
    </w:p>
    <w:p>
      <w:pPr>
        <w:pStyle w:val="3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中国</w:t>
      </w:r>
      <w:r>
        <w:rPr>
          <w:rFonts w:hint="eastAsia" w:ascii="方正黑体_GBK" w:hAnsi="方正黑体_GBK" w:eastAsia="方正黑体_GBK"/>
          <w:color w:val="3D3D3D"/>
          <w:kern w:val="0"/>
          <w:sz w:val="15"/>
          <w:szCs w:val="15"/>
          <w:highlight w:val="none"/>
        </w:rPr>
        <w:t>境内</w:t>
      </w:r>
      <w:r>
        <w:rPr>
          <w:rFonts w:ascii="方正黑体_GBK" w:hAnsi="方正黑体_GBK" w:eastAsia="方正黑体_GBK"/>
          <w:color w:val="3D3D3D"/>
          <w:kern w:val="0"/>
          <w:sz w:val="15"/>
          <w:szCs w:val="15"/>
          <w:highlight w:val="none"/>
        </w:rPr>
        <w:t>或全球金融外汇市场发生致使甲方无法进行货币兑换、划转等的异常变化；</w:t>
      </w:r>
    </w:p>
    <w:p>
      <w:pPr>
        <w:pStyle w:val="3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pPr>
        <w:pStyle w:val="38"/>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2.中国：指中华人民共和国（为本理财产品销售文件之目的，不包括香港特别行政区、澳门特别行政区和台湾地区）。</w:t>
      </w:r>
    </w:p>
    <w:p>
      <w:pPr>
        <w:pStyle w:val="38"/>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3.元：指人民币元。</w:t>
      </w:r>
    </w:p>
    <w:p>
      <w:pPr>
        <w:pStyle w:val="38"/>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olor w:val="3D3D3D"/>
          <w:kern w:val="0"/>
          <w:sz w:val="15"/>
          <w:szCs w:val="15"/>
          <w:lang w:val="en-US" w:eastAsia="zh-CN"/>
        </w:rPr>
      </w:pPr>
      <w:r>
        <w:rPr>
          <w:rFonts w:ascii="方正黑体_GBK" w:hAnsi="方正黑体_GBK" w:eastAsia="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第三条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情景示例</w:t>
      </w:r>
    </w:p>
    <w:p>
      <w:pPr>
        <w:spacing w:line="200" w:lineRule="exact"/>
        <w:ind w:firstLine="280"/>
        <w:jc w:val="left"/>
      </w:pPr>
      <w:r>
        <w:rPr>
          <w:rFonts w:ascii="方正黑体_GBK" w:hAnsi="方正黑体_GBK" w:eastAsia="方正黑体_GBK" w:cs="宋体"/>
          <w:sz w:val="15"/>
          <w:szCs w:val="20"/>
        </w:rPr>
        <w:t>假设：投资者投资本理财产品</w:t>
      </w:r>
      <w:r>
        <w:rPr>
          <w:rFonts w:ascii="方正黑体_GBK" w:hAnsi="方正黑体_GBK" w:eastAsia="方正黑体_GBK"/>
          <w:sz w:val="15"/>
          <w:szCs w:val="20"/>
        </w:rPr>
        <w:t>10</w:t>
      </w:r>
      <w:r>
        <w:rPr>
          <w:rFonts w:ascii="方正黑体_GBK" w:hAnsi="方正黑体_GBK" w:eastAsia="方正黑体_GBK" w:cs="宋体"/>
          <w:sz w:val="15"/>
          <w:szCs w:val="20"/>
        </w:rPr>
        <w:t>万元，成立日当日产品净值为</w:t>
      </w:r>
      <w:r>
        <w:rPr>
          <w:rFonts w:ascii="方正黑体_GBK" w:hAnsi="方正黑体_GBK" w:eastAsia="方正黑体_GBK"/>
          <w:sz w:val="15"/>
          <w:szCs w:val="20"/>
        </w:rPr>
        <w:t>1.0000</w:t>
      </w:r>
      <w:r>
        <w:rPr>
          <w:rFonts w:ascii="方正黑体_GBK" w:hAnsi="方正黑体_GBK" w:eastAsia="方正黑体_GBK" w:cs="宋体"/>
          <w:sz w:val="15"/>
          <w:szCs w:val="20"/>
        </w:rPr>
        <w:t>元，折算份额</w:t>
      </w:r>
      <w:r>
        <w:rPr>
          <w:rFonts w:ascii="方正黑体_GBK" w:hAnsi="方正黑体_GBK" w:eastAsia="方正黑体_GBK"/>
          <w:sz w:val="15"/>
          <w:szCs w:val="20"/>
        </w:rPr>
        <w:t>100,000</w:t>
      </w:r>
      <w:r>
        <w:rPr>
          <w:rFonts w:ascii="方正黑体_GBK" w:hAnsi="方正黑体_GBK" w:eastAsia="方正黑体_GBK" w:cs="宋体"/>
          <w:sz w:val="15"/>
          <w:szCs w:val="20"/>
        </w:rPr>
        <w:t>份。</w:t>
      </w:r>
    </w:p>
    <w:p>
      <w:pPr>
        <w:spacing w:line="200" w:lineRule="exact"/>
        <w:ind w:firstLine="280"/>
        <w:jc w:val="left"/>
      </w:pPr>
      <w:r>
        <w:rPr>
          <w:rFonts w:ascii="方正黑体_GBK" w:hAnsi="方正黑体_GBK" w:eastAsia="方正黑体_GBK" w:cs="宋体"/>
          <w:sz w:val="15"/>
          <w:szCs w:val="20"/>
        </w:rPr>
        <w:t>情景示例一：产品实际到期日，扣除所有税费后（如有业绩报酬，已扣除）的期末产品每份额净值为</w:t>
      </w:r>
      <w:r>
        <w:rPr>
          <w:rFonts w:ascii="方正黑体_GBK" w:hAnsi="方正黑体_GBK" w:eastAsia="方正黑体_GBK"/>
          <w:sz w:val="15"/>
          <w:szCs w:val="20"/>
        </w:rPr>
        <w:t>1.0300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103,000</w:t>
      </w:r>
      <w:r>
        <w:rPr>
          <w:rFonts w:ascii="方正黑体_GBK" w:hAnsi="方正黑体_GBK" w:eastAsia="方正黑体_GBK" w:cs="宋体"/>
          <w:sz w:val="15"/>
          <w:szCs w:val="20"/>
        </w:rPr>
        <w:t>元。</w:t>
      </w:r>
    </w:p>
    <w:p>
      <w:pPr>
        <w:spacing w:line="200" w:lineRule="exact"/>
        <w:ind w:firstLine="280"/>
        <w:jc w:val="left"/>
      </w:pPr>
      <w:r>
        <w:rPr>
          <w:rFonts w:ascii="方正黑体_GBK" w:hAnsi="方正黑体_GBK" w:eastAsia="方正黑体_GBK" w:cs="宋体"/>
          <w:sz w:val="15"/>
          <w:szCs w:val="20"/>
        </w:rPr>
        <w:t>情景示例二：产品实际到期日，扣除所有税费后（如有业绩报酬，已扣除）的期末产品每份额净值为</w:t>
      </w:r>
      <w:r>
        <w:rPr>
          <w:rFonts w:ascii="方正黑体_GBK" w:hAnsi="方正黑体_GBK" w:eastAsia="方正黑体_GBK"/>
          <w:sz w:val="15"/>
          <w:szCs w:val="20"/>
        </w:rPr>
        <w:t>0.9700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97,000</w:t>
      </w:r>
      <w:r>
        <w:rPr>
          <w:rFonts w:ascii="方正黑体_GBK" w:hAnsi="方正黑体_GBK" w:eastAsia="方正黑体_GBK" w:cs="宋体"/>
          <w:sz w:val="15"/>
          <w:szCs w:val="20"/>
        </w:rPr>
        <w:t>元。</w:t>
      </w:r>
      <w:r>
        <w:rPr>
          <w:rFonts w:ascii="方正黑体_GBK" w:hAnsi="方正黑体_GBK" w:eastAsia="方正黑体_GBK" w:cs="宋体"/>
          <w:color w:val="000000"/>
          <w:sz w:val="15"/>
          <w:szCs w:val="20"/>
        </w:rPr>
        <w:t>以上数据为假设情形中的模拟数据，不代表实际收益，投资须谨慎。</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vanish w:val="0"/>
          <w:sz w:val="15"/>
          <w:szCs w:val="15"/>
        </w:rPr>
      </w:pPr>
      <w:r>
        <w:rPr>
          <w:rFonts w:hint="eastAsia" w:ascii="方正黑体_GBK" w:hAnsi="方正黑体_GBK" w:eastAsia="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pPr>
        <w:pStyle w:val="36"/>
        <w:keepNext w:val="0"/>
        <w:keepLines w:val="0"/>
        <w:pageBreakBefore w:val="0"/>
        <w:widowControl/>
        <w:suppressLineNumbers w:val="0"/>
        <w:suppressAutoHyphens w:val="0"/>
        <w:spacing w:line="200" w:lineRule="exact"/>
        <w:ind w:firstLine="301" w:firstLineChars="200"/>
        <w:rPr>
          <w:rFonts w:hint="eastAsia" w:ascii="方正黑体_GBK" w:hAnsi="方正黑体_GBK" w:eastAsia="方正黑体_GBK"/>
          <w:sz w:val="20"/>
          <w:szCs w:val="20"/>
          <w:lang w:val="en-US" w:eastAsia="zh-CN"/>
        </w:rPr>
      </w:pPr>
      <w:r>
        <w:rPr>
          <w:rFonts w:hint="eastAsia" w:ascii="方正黑体_GBK" w:hAnsi="方正黑体_GBK" w:eastAsia="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l="0"/>
          <w:vanish w:val="0"/>
          <w:color w:val="auto"/>
          <w:kern w:val="0"/>
          <w:sz w:val="15"/>
          <w:szCs w:val="15"/>
        </w:rPr>
      </w:pPr>
      <w:r>
        <w:rPr>
          <w:rFonts w:hint="eastAsia" w:ascii="方正黑体_GBK" w:hAnsi="方正黑体_GBK" w:eastAsia="方正黑体_GBK"/>
          <w:b/>
          <w:bCs/>
          <w:vanish w:val="0"/>
          <w:color w:val="auto"/>
          <w:kern w:val="0"/>
          <w:sz w:val="15"/>
          <w:szCs w:val="15"/>
        </w:rPr>
        <w:t>第四</w:t>
      </w:r>
      <w:r>
        <w:rPr>
          <w:rFonts w:hint="eastAsia" w:ascii="方正黑体_GBK" w:hAnsi="方正黑体_GBK" w:eastAsia="方正黑体_GBK"/>
          <w:b/>
          <w:bCs w:val="0"/>
          <w:vanish w:val="0"/>
          <w:color w:val="auto"/>
          <w:kern w:val="0"/>
          <w:sz w:val="15"/>
          <w:szCs w:val="15"/>
        </w:rPr>
        <w:t>条</w:t>
      </w:r>
      <w:r>
        <w:rPr>
          <w:rFonts w:hint="eastAsia" w:ascii="方正黑体_GBK" w:hAnsi="方正黑体_GBK" w:eastAsia="方正黑体_GBK" w:cs="Times New Roman"/>
          <w:b/>
          <w:bCs w:val="0"/>
          <w:vanish w:val="0"/>
          <w:color w:val="auto"/>
          <w:kern w:val="0"/>
          <w:sz w:val="15"/>
          <w:szCs w:val="15"/>
        </w:rPr>
        <w:t xml:space="preserve">  </w:t>
      </w:r>
      <w:r>
        <w:rPr>
          <w:rFonts w:hint="eastAsia" w:ascii="方正黑体_GBK" w:hAnsi="方正黑体_GBK" w:eastAsia="方正黑体_GBK"/>
          <w:b/>
          <w:bCs w:val="0"/>
          <w:vanish w:val="0"/>
          <w:color w:val="auto"/>
          <w:kern w:val="0"/>
          <w:sz w:val="15"/>
          <w:szCs w:val="15"/>
        </w:rPr>
        <w:t>理财产品估值</w:t>
      </w:r>
    </w:p>
    <w:p>
      <w:pPr>
        <w:spacing w:line="200" w:lineRule="exact"/>
        <w:ind w:firstLine="300"/>
        <w:jc w:val="both"/>
      </w:pPr>
      <w:r>
        <w:rPr>
          <w:rFonts w:ascii="方正黑体_GBK" w:hAnsi="方正黑体_GBK" w:eastAsia="方正黑体_GBK" w:cs="宋体"/>
          <w:sz w:val="15"/>
          <w:szCs w:val="20"/>
        </w:rPr>
        <w:t>（一）估值日</w:t>
      </w:r>
    </w:p>
    <w:p>
      <w:pPr>
        <w:spacing w:line="200" w:lineRule="exact"/>
        <w:ind w:firstLine="300"/>
        <w:jc w:val="both"/>
      </w:pPr>
      <w:r>
        <w:rPr>
          <w:rFonts w:ascii="方正黑体_GBK" w:hAnsi="方正黑体_GBK" w:eastAsia="方正黑体_GBK" w:cs="宋体"/>
          <w:sz w:val="15"/>
          <w:szCs w:val="20"/>
        </w:rPr>
        <w:t>本理财产品每个工作日进行估值。</w:t>
      </w:r>
    </w:p>
    <w:p>
      <w:pPr>
        <w:spacing w:line="200" w:lineRule="exact"/>
        <w:ind w:firstLine="300"/>
        <w:jc w:val="both"/>
      </w:pPr>
      <w:r>
        <w:rPr>
          <w:rFonts w:ascii="方正黑体_GBK" w:hAnsi="方正黑体_GBK" w:eastAsia="方正黑体_GBK" w:cs="宋体"/>
          <w:sz w:val="15"/>
          <w:szCs w:val="20"/>
        </w:rPr>
        <w:t>（二）估值对象</w:t>
      </w:r>
    </w:p>
    <w:p>
      <w:pPr>
        <w:spacing w:line="200" w:lineRule="exact"/>
        <w:ind w:firstLine="300"/>
        <w:jc w:val="both"/>
      </w:pPr>
      <w:r>
        <w:rPr>
          <w:rFonts w:ascii="方正黑体_GBK" w:hAnsi="方正黑体_GBK" w:eastAsia="方正黑体_GBK" w:cs="宋体"/>
          <w:sz w:val="15"/>
          <w:szCs w:val="20"/>
        </w:rPr>
        <w:t>本理财产品所拥有的所有资产及负债。</w:t>
      </w:r>
    </w:p>
    <w:p>
      <w:pPr>
        <w:spacing w:line="200" w:lineRule="exact"/>
        <w:ind w:firstLine="300"/>
        <w:jc w:val="both"/>
      </w:pPr>
      <w:r>
        <w:rPr>
          <w:rFonts w:ascii="方正黑体_GBK" w:hAnsi="方正黑体_GBK" w:eastAsia="方正黑体_GBK" w:cs="宋体"/>
          <w:sz w:val="15"/>
          <w:szCs w:val="20"/>
        </w:rPr>
        <w:t>（三）估值目的</w:t>
      </w:r>
    </w:p>
    <w:p>
      <w:pPr>
        <w:spacing w:line="200" w:lineRule="exact"/>
        <w:ind w:firstLine="300"/>
        <w:jc w:val="both"/>
      </w:pPr>
      <w:r>
        <w:rPr>
          <w:rFonts w:ascii="方正黑体_GBK" w:hAnsi="方正黑体_GBK" w:eastAsia="方正黑体_GBK" w:cs="宋体"/>
          <w:sz w:val="15"/>
          <w:szCs w:val="20"/>
        </w:rPr>
        <w:t>客观、准确反映理财产品的价值。</w:t>
      </w:r>
    </w:p>
    <w:p>
      <w:pPr>
        <w:spacing w:line="200" w:lineRule="exact"/>
        <w:ind w:firstLine="300"/>
        <w:jc w:val="both"/>
      </w:pPr>
      <w:r>
        <w:rPr>
          <w:rFonts w:ascii="方正黑体_GBK" w:hAnsi="方正黑体_GBK" w:eastAsia="方正黑体_GBK" w:cs="宋体"/>
          <w:sz w:val="15"/>
          <w:szCs w:val="20"/>
        </w:rPr>
        <w:t>（四）估值原则</w:t>
      </w:r>
    </w:p>
    <w:p>
      <w:pPr>
        <w:spacing w:line="200" w:lineRule="exact"/>
        <w:ind w:firstLine="300"/>
        <w:jc w:val="both"/>
      </w:pPr>
      <w:r>
        <w:rPr>
          <w:rFonts w:ascii="方正黑体_GBK" w:hAnsi="方正黑体_GBK" w:eastAsia="方正黑体_GBK" w:cs="宋体"/>
          <w:sz w:val="15"/>
          <w:szCs w:val="20"/>
        </w:rPr>
        <w:t>理财产品应坚持公允价值计量原则，符合会计准则和监管规定的范围内的可选择摊余成本法计量。</w:t>
      </w:r>
    </w:p>
    <w:p>
      <w:pPr>
        <w:spacing w:line="200" w:lineRule="exact"/>
        <w:ind w:firstLine="300"/>
        <w:jc w:val="both"/>
      </w:pPr>
      <w:r>
        <w:rPr>
          <w:rFonts w:ascii="方正黑体_GBK" w:hAnsi="方正黑体_GBK" w:eastAsia="方正黑体_GBK" w:cs="宋体"/>
          <w:sz w:val="15"/>
          <w:szCs w:val="20"/>
        </w:rPr>
        <w:t>（五）估值方法</w:t>
      </w:r>
    </w:p>
    <w:p>
      <w:pPr>
        <w:spacing w:line="200" w:lineRule="exact"/>
        <w:ind w:firstLine="300"/>
      </w:pPr>
      <w:r>
        <w:rPr>
          <w:rFonts w:ascii="方正黑体_GBK" w:hAnsi="方正黑体_GBK" w:eastAsia="方正黑体_GBK" w:cs="宋体"/>
          <w:color w:val="000000"/>
          <w:sz w:val="15"/>
          <w:szCs w:val="20"/>
        </w:rPr>
        <w:t>估值方法中列示的资产品种不代表管理人的实际投向，本理财产品拟投资范围以“投资范围”章节描述为准。</w:t>
      </w:r>
    </w:p>
    <w:p>
      <w:pPr>
        <w:spacing w:line="200" w:lineRule="exact"/>
        <w:ind w:firstLine="300"/>
      </w:pPr>
      <w:r>
        <w:rPr>
          <w:rFonts w:ascii="方正黑体_GBK" w:hAnsi="方正黑体_GBK" w:eastAsia="方正黑体_GBK" w:cs="宋体"/>
          <w:color w:val="000000"/>
          <w:sz w:val="15"/>
          <w:szCs w:val="20"/>
        </w:rPr>
        <w:t>1.银行存款、回购等货币市场工具</w:t>
      </w:r>
    </w:p>
    <w:p>
      <w:pPr>
        <w:spacing w:line="200" w:lineRule="exact"/>
        <w:ind w:firstLine="300"/>
      </w:pPr>
      <w:r>
        <w:rPr>
          <w:rFonts w:ascii="方正黑体_GBK" w:hAnsi="方正黑体_GBK" w:eastAsia="方正黑体_GBK" w:cs="宋体"/>
          <w:color w:val="000000"/>
          <w:sz w:val="15"/>
          <w:szCs w:val="20"/>
        </w:rPr>
        <w:t>以本金列示，按商定的利率在实际持有期间内逐日计提。</w:t>
      </w:r>
    </w:p>
    <w:p>
      <w:pPr>
        <w:spacing w:line="200" w:lineRule="exact"/>
        <w:ind w:firstLine="300"/>
      </w:pPr>
      <w:r>
        <w:rPr>
          <w:rFonts w:ascii="方正黑体_GBK" w:hAnsi="方正黑体_GBK" w:eastAsia="方正黑体_GBK" w:cs="宋体"/>
          <w:color w:val="000000"/>
          <w:sz w:val="15"/>
          <w:szCs w:val="20"/>
        </w:rPr>
        <w:t>2.债券类资产</w:t>
      </w:r>
    </w:p>
    <w:p>
      <w:pPr>
        <w:spacing w:line="200" w:lineRule="exact"/>
        <w:ind w:firstLine="300"/>
      </w:pPr>
      <w:r>
        <w:rPr>
          <w:rFonts w:ascii="方正黑体_GBK" w:hAnsi="方正黑体_GBK" w:eastAsia="方正黑体_GBK"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pPr>
        <w:spacing w:line="200" w:lineRule="exact"/>
        <w:ind w:firstLine="300"/>
      </w:pPr>
      <w:r>
        <w:rPr>
          <w:rFonts w:ascii="方正黑体_GBK" w:hAnsi="方正黑体_GBK" w:eastAsia="方正黑体_GBK" w:cs="宋体"/>
          <w:color w:val="000000"/>
          <w:sz w:val="15"/>
          <w:szCs w:val="20"/>
        </w:rPr>
        <w:t>3.非标准化债权类资产</w:t>
      </w:r>
    </w:p>
    <w:p>
      <w:pPr>
        <w:spacing w:line="200" w:lineRule="exact"/>
        <w:ind w:firstLine="300"/>
      </w:pPr>
      <w:r>
        <w:rPr>
          <w:rFonts w:ascii="方正黑体_GBK" w:hAnsi="方正黑体_GBK" w:eastAsia="方正黑体_GBK"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pPr>
        <w:spacing w:line="200" w:lineRule="exact"/>
        <w:ind w:firstLine="300"/>
      </w:pPr>
      <w:r>
        <w:rPr>
          <w:rFonts w:ascii="方正黑体_GBK" w:hAnsi="方正黑体_GBK" w:eastAsia="方正黑体_GBK" w:cs="宋体"/>
          <w:color w:val="000000"/>
          <w:sz w:val="15"/>
          <w:szCs w:val="20"/>
        </w:rPr>
        <w:t>4.证券投资基金</w:t>
      </w:r>
    </w:p>
    <w:p>
      <w:pPr>
        <w:spacing w:line="200" w:lineRule="exact"/>
        <w:ind w:firstLine="300"/>
      </w:pPr>
      <w:r>
        <w:rPr>
          <w:rFonts w:ascii="方正黑体_GBK" w:hAnsi="方正黑体_GBK" w:eastAsia="方正黑体_GBK"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pPr>
        <w:spacing w:line="200" w:lineRule="exact"/>
        <w:ind w:firstLine="300"/>
      </w:pPr>
      <w:r>
        <w:rPr>
          <w:rFonts w:ascii="方正黑体_GBK" w:hAnsi="方正黑体_GBK" w:eastAsia="方正黑体_GBK" w:cs="宋体"/>
          <w:color w:val="000000"/>
          <w:sz w:val="15"/>
          <w:szCs w:val="20"/>
        </w:rPr>
        <w:t>5.股权类资产</w:t>
      </w:r>
    </w:p>
    <w:p>
      <w:pPr>
        <w:spacing w:line="200" w:lineRule="exact"/>
        <w:ind w:firstLine="300"/>
      </w:pPr>
      <w:r>
        <w:rPr>
          <w:rFonts w:ascii="方正黑体_GBK" w:hAnsi="方正黑体_GBK" w:eastAsia="方正黑体_GBK"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pPr>
        <w:spacing w:line="200" w:lineRule="exact"/>
        <w:ind w:firstLine="300"/>
      </w:pPr>
      <w:r>
        <w:rPr>
          <w:rFonts w:ascii="方正黑体_GBK" w:hAnsi="方正黑体_GBK" w:eastAsia="方正黑体_GBK" w:cs="宋体"/>
          <w:color w:val="000000"/>
          <w:sz w:val="15"/>
          <w:szCs w:val="20"/>
        </w:rPr>
        <w:t>6.资管计划、信托计划等资产</w:t>
      </w:r>
    </w:p>
    <w:p>
      <w:pPr>
        <w:spacing w:line="200" w:lineRule="exact"/>
        <w:ind w:firstLine="300"/>
      </w:pPr>
      <w:r>
        <w:rPr>
          <w:rFonts w:ascii="方正黑体_GBK" w:hAnsi="方正黑体_GBK" w:eastAsia="方正黑体_GBK" w:cs="宋体"/>
          <w:color w:val="000000"/>
          <w:sz w:val="15"/>
          <w:szCs w:val="20"/>
        </w:rPr>
        <w:t>存在公允价值的，按照公允价值估值，或采用估值技术确定估值，也可采用被委托机构提供的估值或计量报告。</w:t>
      </w:r>
    </w:p>
    <w:p>
      <w:pPr>
        <w:spacing w:line="200" w:lineRule="exact"/>
        <w:ind w:firstLine="300"/>
      </w:pPr>
      <w:r>
        <w:rPr>
          <w:rFonts w:ascii="方正黑体_GBK" w:hAnsi="方正黑体_GBK" w:eastAsia="方正黑体_GBK" w:cs="宋体"/>
          <w:color w:val="000000"/>
          <w:sz w:val="15"/>
          <w:szCs w:val="20"/>
        </w:rPr>
        <w:t>7.其他资产</w:t>
      </w:r>
    </w:p>
    <w:p>
      <w:pPr>
        <w:spacing w:line="200" w:lineRule="exact"/>
        <w:ind w:firstLine="300"/>
      </w:pPr>
      <w:r>
        <w:rPr>
          <w:rFonts w:ascii="方正黑体_GBK" w:hAnsi="方正黑体_GBK" w:eastAsia="方正黑体_GBK" w:cs="宋体"/>
          <w:color w:val="000000"/>
          <w:sz w:val="15"/>
          <w:szCs w:val="20"/>
        </w:rPr>
        <w:t>存在公允价值的，按照公允价值估值，或采用估值技术确定估值，也可采用被委托机构提供的估值或计量报告。具体可参考《企业会计准则》以及相关监管政策的规定。</w:t>
      </w:r>
    </w:p>
    <w:p>
      <w:pPr>
        <w:spacing w:line="200" w:lineRule="exact"/>
        <w:ind w:firstLine="300"/>
      </w:pPr>
      <w:r>
        <w:rPr>
          <w:rFonts w:ascii="方正黑体_GBK" w:hAnsi="方正黑体_GBK" w:eastAsia="方正黑体_GBK" w:cs="宋体"/>
          <w:color w:val="000000"/>
          <w:sz w:val="15"/>
          <w:szCs w:val="20"/>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pPr>
        <w:spacing w:line="200" w:lineRule="exact"/>
        <w:ind w:firstLine="300"/>
      </w:pPr>
      <w:r>
        <w:rPr>
          <w:rFonts w:ascii="方正黑体_GBK" w:hAnsi="方正黑体_GBK" w:eastAsia="方正黑体_GBK" w:cs="宋体"/>
          <w:color w:val="000000"/>
          <w:sz w:val="15"/>
          <w:szCs w:val="20"/>
        </w:rPr>
        <w:t>9.如有新增事项或变更事项，按国家最新规定或管理人最新的约定估值。</w:t>
      </w:r>
    </w:p>
    <w:p>
      <w:pPr>
        <w:spacing w:line="200" w:lineRule="exact"/>
        <w:ind w:firstLine="300"/>
        <w:jc w:val="both"/>
      </w:pPr>
      <w:r>
        <w:rPr>
          <w:rFonts w:ascii="方正黑体_GBK" w:hAnsi="方正黑体_GBK" w:eastAsia="方正黑体_GBK" w:cs="宋体"/>
          <w:sz w:val="15"/>
          <w:szCs w:val="20"/>
        </w:rPr>
        <w:t>（六）估值错误及暂停估值</w:t>
      </w:r>
    </w:p>
    <w:p>
      <w:pPr>
        <w:spacing w:line="200" w:lineRule="exact"/>
        <w:ind w:firstLine="300"/>
        <w:jc w:val="both"/>
      </w:pPr>
      <w:r>
        <w:rPr>
          <w:rFonts w:ascii="方正黑体_GBK" w:hAnsi="方正黑体_GBK" w:eastAsia="方正黑体_GBK"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五</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信息披露</w:t>
      </w:r>
    </w:p>
    <w:p>
      <w:pPr>
        <w:pStyle w:val="3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信息披露渠道</w:t>
      </w:r>
    </w:p>
    <w:p>
      <w:pPr>
        <w:spacing w:line="200" w:lineRule="exact"/>
      </w:pPr>
      <w:r>
        <w:rPr>
          <w:rFonts w:ascii="方正黑体_GBK" w:hAnsi="方正黑体_GBK" w:eastAsia="方正黑体_GBK"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pPr>
        <w:pStyle w:val="3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信息披露的内容及时间</w:t>
      </w:r>
    </w:p>
    <w:p>
      <w:pPr>
        <w:pStyle w:val="3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ascii="方正黑体_GBK" w:hAnsi="方正黑体_GBK" w:eastAsia="方正黑体_GBK"/>
          <w:vanish w:val="0"/>
          <w:color w:val="3D3D3D"/>
          <w:kern w:val="0"/>
          <w:sz w:val="15"/>
          <w:szCs w:val="15"/>
        </w:rPr>
        <w:t xml:space="preserve"> </w:t>
      </w:r>
      <w:r>
        <w:rPr>
          <w:rFonts w:hint="eastAsia" w:ascii="方正黑体_GBK" w:hAnsi="方正黑体_GBK" w:eastAsia="方正黑体_GBK"/>
          <w:vanish w:val="0"/>
          <w:color w:val="3D3D3D"/>
          <w:kern w:val="0"/>
          <w:sz w:val="15"/>
          <w:szCs w:val="15"/>
        </w:rPr>
        <w:t>净值信息</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管理人在本理财产品存续期间至少</w:t>
      </w:r>
      <w:r>
        <w:rPr>
          <w:rFonts w:hint="eastAsia" w:ascii="方正黑体_GBK" w:hAnsi="方正黑体_GBK" w:eastAsia="方正黑体_GBK"/>
          <w:vanish w:val="0"/>
          <w:color w:val="3D3D3D"/>
          <w:kern w:val="0"/>
          <w:sz w:val="15"/>
          <w:szCs w:val="15"/>
        </w:rPr>
        <w:t>按周</w:t>
      </w:r>
      <w:r>
        <w:rPr>
          <w:rFonts w:hint="eastAsia" w:ascii="方正黑体_GBK" w:hAnsi="方正黑体_GBK" w:eastAsia="方正黑体_GBK" w:cs="Times New Roman"/>
          <w:vanish w:val="0"/>
          <w:color w:val="3D3D3D"/>
          <w:kern w:val="0"/>
          <w:sz w:val="15"/>
          <w:szCs w:val="15"/>
        </w:rPr>
        <w:t>向投资者披露净值</w:t>
      </w:r>
      <w:r>
        <w:rPr>
          <w:rFonts w:hint="eastAsia" w:ascii="方正黑体_GBK" w:hAnsi="方正黑体_GBK" w:eastAsia="方正黑体_GBK"/>
          <w:vanish w:val="0"/>
          <w:color w:val="3D3D3D"/>
          <w:kern w:val="0"/>
          <w:sz w:val="15"/>
          <w:szCs w:val="15"/>
        </w:rPr>
        <w:t>。</w:t>
      </w:r>
    </w:p>
    <w:p>
      <w:pPr>
        <w:pStyle w:val="3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产品发行公告</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管理人将在本理财产品成立后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个工作日内披露产品发行公告。</w:t>
      </w:r>
    </w:p>
    <w:p>
      <w:pPr>
        <w:pStyle w:val="3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定期报告</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管理人将在每个季度结束之日起</w:t>
      </w:r>
      <w:r>
        <w:rPr>
          <w:rFonts w:ascii="方正黑体_GBK" w:hAnsi="方正黑体_GBK" w:eastAsia="方正黑体_GBK"/>
          <w:vanish w:val="0"/>
          <w:color w:val="3D3D3D"/>
          <w:kern w:val="0"/>
          <w:sz w:val="15"/>
          <w:szCs w:val="15"/>
        </w:rPr>
        <w:t>15</w:t>
      </w:r>
      <w:r>
        <w:rPr>
          <w:rFonts w:hint="eastAsia" w:ascii="方正黑体_GBK" w:hAnsi="方正黑体_GBK" w:eastAsia="方正黑体_GBK"/>
          <w:vanish w:val="0"/>
          <w:color w:val="3D3D3D"/>
          <w:kern w:val="0"/>
          <w:sz w:val="15"/>
          <w:szCs w:val="15"/>
        </w:rPr>
        <w:t>个工作日内、上半年结束之日起</w:t>
      </w:r>
      <w:r>
        <w:rPr>
          <w:rFonts w:ascii="方正黑体_GBK" w:hAnsi="方正黑体_GBK" w:eastAsia="方正黑体_GBK"/>
          <w:vanish w:val="0"/>
          <w:color w:val="3D3D3D"/>
          <w:kern w:val="0"/>
          <w:sz w:val="15"/>
          <w:szCs w:val="15"/>
        </w:rPr>
        <w:t>60</w:t>
      </w:r>
      <w:r>
        <w:rPr>
          <w:rFonts w:hint="eastAsia" w:ascii="方正黑体_GBK" w:hAnsi="方正黑体_GBK" w:eastAsia="方正黑体_GBK"/>
          <w:vanish w:val="0"/>
          <w:color w:val="3D3D3D"/>
          <w:kern w:val="0"/>
          <w:sz w:val="15"/>
          <w:szCs w:val="15"/>
        </w:rPr>
        <w:t>个工作日内、每年结束之日起</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vanish w:val="0"/>
          <w:color w:val="3D3D3D"/>
          <w:kern w:val="0"/>
          <w:sz w:val="15"/>
          <w:szCs w:val="15"/>
        </w:rPr>
        <w:t>个工作日内披露本理财产品的季度、半年和年度报告，如果本理财产品成立不足</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日或者剩余存续期不超过</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日的，管理人可以不编制产品当期的季度、半年和年度报告。</w:t>
      </w:r>
    </w:p>
    <w:p>
      <w:pPr>
        <w:pStyle w:val="3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到期公告</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管理人将在本理财产品终止后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个工作日内披露产品到期公告。</w:t>
      </w:r>
    </w:p>
    <w:p>
      <w:pPr>
        <w:pStyle w:val="3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重大事项公告</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管理人将在发生可能对本理财产品投资者或者理财产品收益产生重大影响的事件后</w:t>
      </w:r>
      <w:r>
        <w:rPr>
          <w:rFonts w:ascii="方正黑体_GBK" w:hAnsi="方正黑体_GBK" w:eastAsia="方正黑体_GBK"/>
          <w:vanish w:val="0"/>
          <w:color w:val="3D3D3D"/>
          <w:kern w:val="0"/>
          <w:sz w:val="15"/>
          <w:szCs w:val="15"/>
        </w:rPr>
        <w:t>2</w:t>
      </w:r>
      <w:r>
        <w:rPr>
          <w:rFonts w:hint="eastAsia" w:ascii="方正黑体_GBK" w:hAnsi="方正黑体_GBK" w:eastAsia="方正黑体_GBK"/>
          <w:vanish w:val="0"/>
          <w:color w:val="3D3D3D"/>
          <w:kern w:val="0"/>
          <w:sz w:val="15"/>
          <w:szCs w:val="15"/>
        </w:rPr>
        <w:t>个工作日内披露重大事项公告。</w:t>
      </w:r>
    </w:p>
    <w:p>
      <w:pPr>
        <w:pStyle w:val="3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临时公告</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理财产品在运作管理过程中，发生可能对理财产品持有人权益产生影响的事项时，管理人将根据法律法规规定及时进行临时信息披露。</w:t>
      </w:r>
    </w:p>
    <w:p>
      <w:pPr>
        <w:pStyle w:val="3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关联交易信息披露</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ascii="方正黑体_GBK" w:hAnsi="方正黑体_GBK" w:eastAsia="方正黑体_GBK"/>
          <w:vanish w:val="0"/>
          <w:color w:val="3D3D3D"/>
          <w:kern w:val="0"/>
          <w:sz w:val="15"/>
          <w:szCs w:val="15"/>
        </w:rPr>
        <w:t>。</w:t>
      </w:r>
    </w:p>
    <w:p>
      <w:pPr>
        <w:pStyle w:val="3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账单</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ascii="方正黑体_GBK" w:hAnsi="方正黑体_GBK" w:eastAsia="方正黑体_GBK"/>
          <w:vanish w:val="0"/>
          <w:color w:val="3D3D3D"/>
          <w:kern w:val="0"/>
          <w:sz w:val="15"/>
          <w:szCs w:val="15"/>
        </w:rPr>
        <w:t>。</w:t>
      </w:r>
    </w:p>
    <w:p>
      <w:pPr>
        <w:pStyle w:val="3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在本理财产品存续期内：</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1</w:t>
      </w:r>
      <w:r>
        <w:rPr>
          <w:rFonts w:hint="eastAsia" w:ascii="方正黑体_GBK" w:hAnsi="方正黑体_GBK" w:eastAsia="方正黑体_GBK" w:cs="Times New Roman"/>
          <w:b/>
          <w:bCs/>
          <w:vanish w:val="0"/>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ascii="方正黑体_GBK" w:hAnsi="方正黑体_GBK" w:eastAsia="方正黑体_GBK"/>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2</w:t>
      </w: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10.其他公告</w:t>
      </w:r>
    </w:p>
    <w:p>
      <w:pPr>
        <w:pStyle w:val="36"/>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rPr>
      </w:pPr>
      <w:r>
        <w:rPr>
          <w:rFonts w:hint="eastAsia" w:ascii="方正黑体_GBK" w:hAnsi="方正黑体_GBK" w:eastAsia="方正黑体_GBK"/>
          <w:vanish w:val="0"/>
          <w:color w:val="3D3D3D"/>
          <w:kern w:val="0"/>
          <w:sz w:val="15"/>
          <w:szCs w:val="15"/>
        </w:rPr>
        <w:t>理财产品在运作管理过程中，管理人根据实际运作情况发布的其他公告。</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六</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投资者保护提示</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您如对销售机构产品推介和销售等服务有任何意见或建议，您可通过拨打销售机构客服电话进行咨询及反馈。</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您如对理财产品设计、投资管理等事项有任何意见或建议，您可通过拨打管理人客服电话进行咨询及反馈。</w:t>
      </w:r>
    </w:p>
    <w:p>
      <w:pPr>
        <w:pStyle w:val="36"/>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销售机构及管理人的联系方式详见《投资者权益须知》第八条。</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七</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法律适用和争议解决</w:t>
      </w:r>
    </w:p>
    <w:p>
      <w:pPr>
        <w:pStyle w:val="36"/>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理财产品销售文件的订立、生效、履行、解释、修改和终止等事项的适用法律和争议解决方式按照销售协议书的相关约定执行。</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八</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重要提示</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请您一定仔细阅读本理财产品销售文件，了解理财产品具体情况，关注投资风险，自主决定是否投资。</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投资者特此</w:t>
      </w:r>
      <w:r>
        <w:rPr>
          <w:rFonts w:hint="eastAsia" w:ascii="方正黑体_GBK" w:hAnsi="方正黑体_GBK" w:eastAsia="方正黑体_GBK" w:cs="Times New Roman"/>
          <w:b/>
          <w:bCs/>
          <w:vanish w:val="0"/>
          <w:color w:val="auto"/>
          <w:kern w:val="0"/>
          <w:sz w:val="15"/>
          <w:szCs w:val="15"/>
        </w:rPr>
        <w:t>同</w:t>
      </w:r>
      <w:r>
        <w:rPr>
          <w:rFonts w:hint="eastAsia" w:ascii="方正黑体_GBK" w:hAnsi="方正黑体_GBK" w:eastAsia="方正黑体_GBK"/>
          <w:b/>
          <w:bCs/>
          <w:vanish w:val="0"/>
          <w:color w:val="auto"/>
          <w:kern w:val="0"/>
          <w:sz w:val="15"/>
          <w:szCs w:val="15"/>
        </w:rPr>
        <w:t>意</w:t>
      </w:r>
      <w:r>
        <w:rPr>
          <w:rFonts w:hint="eastAsia" w:ascii="方正黑体_GBK" w:hAnsi="方正黑体_GBK" w:eastAsia="方正黑体_GBK" w:cs="Times New Roman"/>
          <w:b/>
          <w:bCs/>
          <w:vanish w:val="0"/>
          <w:color w:val="auto"/>
          <w:kern w:val="0"/>
          <w:sz w:val="15"/>
          <w:szCs w:val="15"/>
        </w:rPr>
        <w:t>并授权：</w:t>
      </w:r>
      <w:r>
        <w:rPr>
          <w:rFonts w:hint="eastAsia" w:ascii="方正黑体_GBK" w:hAnsi="方正黑体_GBK" w:eastAsia="方正黑体_GBK"/>
          <w:b/>
          <w:bCs/>
          <w:vanish w:val="0"/>
          <w:color w:val="auto"/>
          <w:kern w:val="0"/>
          <w:sz w:val="15"/>
          <w:szCs w:val="15"/>
        </w:rPr>
        <w:t>管理人</w:t>
      </w:r>
      <w:r>
        <w:rPr>
          <w:rFonts w:hint="eastAsia" w:ascii="方正黑体_GBK" w:hAnsi="方正黑体_GBK" w:eastAsia="方正黑体_GBK" w:cs="Times New Roman"/>
          <w:b/>
          <w:bCs/>
          <w:vanish w:val="0"/>
          <w:color w:val="auto"/>
          <w:kern w:val="0"/>
          <w:sz w:val="15"/>
          <w:szCs w:val="15"/>
        </w:rPr>
        <w:t>及销售机构</w:t>
      </w:r>
      <w:r>
        <w:rPr>
          <w:rFonts w:hint="eastAsia" w:ascii="方正黑体_GBK" w:hAnsi="方正黑体_GBK" w:eastAsia="方正黑体_GBK"/>
          <w:b/>
          <w:bCs/>
          <w:vanish w:val="0"/>
          <w:color w:val="auto"/>
          <w:kern w:val="0"/>
          <w:sz w:val="15"/>
          <w:szCs w:val="15"/>
        </w:rPr>
        <w:t>有权按照法律法规</w:t>
      </w:r>
      <w:r>
        <w:rPr>
          <w:rFonts w:hint="eastAsia" w:ascii="方正黑体_GBK" w:hAnsi="方正黑体_GBK" w:eastAsia="方正黑体_GBK" w:cs="Times New Roman"/>
          <w:b/>
          <w:bCs/>
          <w:vanish w:val="0"/>
          <w:color w:val="auto"/>
          <w:kern w:val="0"/>
          <w:sz w:val="15"/>
          <w:szCs w:val="15"/>
        </w:rPr>
        <w:t>规定，遵循正当、必要的原则，收集、使用投资者个人信息，包括但不限于</w:t>
      </w:r>
      <w:r>
        <w:rPr>
          <w:rFonts w:hint="eastAsia" w:ascii="方正黑体_GBK" w:hAnsi="方正黑体_GBK" w:eastAsia="方正黑体_GBK"/>
          <w:b/>
          <w:bCs/>
          <w:vanish w:val="0"/>
          <w:color w:val="auto"/>
          <w:kern w:val="0"/>
          <w:sz w:val="15"/>
          <w:szCs w:val="15"/>
        </w:rPr>
        <w:t>根据法律法规规定</w:t>
      </w:r>
      <w:r>
        <w:rPr>
          <w:rFonts w:hint="eastAsia" w:ascii="方正黑体_GBK" w:hAnsi="方正黑体_GBK" w:eastAsia="方正黑体_GBK" w:cs="Times New Roman"/>
          <w:b/>
          <w:bCs/>
          <w:vanish w:val="0"/>
          <w:color w:val="auto"/>
          <w:kern w:val="0"/>
          <w:sz w:val="15"/>
          <w:szCs w:val="15"/>
        </w:rPr>
        <w:t>、监管或</w:t>
      </w:r>
      <w:r>
        <w:rPr>
          <w:rFonts w:hint="eastAsia" w:ascii="方正黑体_GBK" w:hAnsi="方正黑体_GBK" w:eastAsia="方正黑体_GBK"/>
          <w:b/>
          <w:bCs/>
          <w:vanish w:val="0"/>
          <w:color w:val="auto"/>
          <w:kern w:val="0"/>
          <w:sz w:val="15"/>
          <w:szCs w:val="15"/>
        </w:rPr>
        <w:t>有权机关要求</w:t>
      </w:r>
      <w:r>
        <w:rPr>
          <w:rFonts w:hint="eastAsia" w:ascii="方正黑体_GBK" w:hAnsi="方正黑体_GBK" w:eastAsia="方正黑体_GBK" w:cs="Times New Roman"/>
          <w:b/>
          <w:bCs/>
          <w:vanish w:val="0"/>
          <w:color w:val="auto"/>
          <w:kern w:val="0"/>
          <w:sz w:val="15"/>
          <w:szCs w:val="15"/>
        </w:rPr>
        <w:t>、理财业务需要等采集、处理及使用</w:t>
      </w:r>
      <w:r>
        <w:rPr>
          <w:rFonts w:hint="eastAsia" w:ascii="方正黑体_GBK" w:hAnsi="方正黑体_GBK" w:eastAsia="方正黑体_GBK"/>
          <w:b/>
          <w:bCs/>
          <w:vanish w:val="0"/>
          <w:color w:val="auto"/>
          <w:kern w:val="0"/>
          <w:sz w:val="15"/>
          <w:szCs w:val="15"/>
        </w:rPr>
        <w:t>投资者身份、持有理财产品、理财产品交易等信息</w:t>
      </w:r>
      <w:r>
        <w:rPr>
          <w:rFonts w:hint="eastAsia" w:ascii="方正黑体_GBK" w:hAnsi="方正黑体_GBK" w:eastAsia="方正黑体_GBK" w:cs="Times New Roman"/>
          <w:b/>
          <w:bCs/>
          <w:vanish w:val="0"/>
          <w:color w:val="auto"/>
          <w:kern w:val="0"/>
          <w:sz w:val="15"/>
          <w:szCs w:val="15"/>
        </w:rPr>
        <w:t>，</w:t>
      </w:r>
      <w:r>
        <w:rPr>
          <w:rFonts w:hint="eastAsia" w:ascii="方正黑体_GBK" w:hAnsi="方正黑体_GBK" w:eastAsia="方正黑体_GBK"/>
          <w:b/>
          <w:bCs/>
          <w:vanish w:val="0"/>
          <w:color w:val="auto"/>
          <w:kern w:val="0"/>
          <w:sz w:val="15"/>
          <w:szCs w:val="15"/>
        </w:rPr>
        <w:t>以及</w:t>
      </w:r>
      <w:r>
        <w:rPr>
          <w:rFonts w:hint="eastAsia" w:ascii="方正黑体_GBK" w:hAnsi="方正黑体_GBK" w:eastAsia="方正黑体_GBK"/>
          <w:b/>
          <w:bCs/>
          <w:vanish w:val="0"/>
          <w:color w:val="auto"/>
          <w:spacing w:val="0"/>
          <w:kern w:val="0"/>
          <w:sz w:val="15"/>
          <w:szCs w:val="15"/>
        </w:rPr>
        <w:t>在办理与理财产品相关事项</w:t>
      </w:r>
      <w:r>
        <w:rPr>
          <w:rFonts w:hint="eastAsia" w:ascii="方正黑体_GBK" w:hAnsi="方正黑体_GBK" w:eastAsia="方正黑体_GBK" w:cs="Times New Roman"/>
          <w:b/>
          <w:bCs/>
          <w:vanish w:val="0"/>
          <w:color w:val="auto"/>
          <w:spacing w:val="0"/>
          <w:kern w:val="0"/>
          <w:sz w:val="15"/>
          <w:szCs w:val="15"/>
        </w:rPr>
        <w:t>需要</w:t>
      </w:r>
      <w:r>
        <w:rPr>
          <w:rFonts w:hint="eastAsia" w:ascii="方正黑体_GBK" w:hAnsi="方正黑体_GBK" w:eastAsia="方正黑体_GBK"/>
          <w:b/>
          <w:bCs/>
          <w:vanish w:val="0"/>
          <w:color w:val="auto"/>
          <w:spacing w:val="0"/>
          <w:kern w:val="0"/>
          <w:sz w:val="15"/>
          <w:szCs w:val="15"/>
        </w:rPr>
        <w:t>的情况下向服务机构及其他管理人或销售机构认为必要的业务合作机构提供投资者</w:t>
      </w:r>
      <w:r>
        <w:rPr>
          <w:rFonts w:hint="eastAsia" w:ascii="方正黑体_GBK" w:hAnsi="方正黑体_GBK" w:eastAsia="方正黑体_GBK" w:cs="Times New Roman"/>
          <w:b/>
          <w:bCs/>
          <w:vanish w:val="0"/>
          <w:color w:val="auto"/>
          <w:spacing w:val="0"/>
          <w:kern w:val="0"/>
          <w:sz w:val="15"/>
          <w:szCs w:val="15"/>
        </w:rPr>
        <w:t>相关</w:t>
      </w:r>
      <w:r>
        <w:rPr>
          <w:rFonts w:hint="eastAsia" w:ascii="方正黑体_GBK" w:hAnsi="方正黑体_GBK" w:eastAsia="方正黑体_GBK"/>
          <w:b/>
          <w:bCs/>
          <w:vanish w:val="0"/>
          <w:color w:val="auto"/>
          <w:spacing w:val="0"/>
          <w:kern w:val="0"/>
          <w:sz w:val="15"/>
          <w:szCs w:val="15"/>
        </w:rPr>
        <w:t>信息</w:t>
      </w:r>
      <w:r>
        <w:rPr>
          <w:rFonts w:hint="eastAsia" w:ascii="方正黑体_GBK" w:hAnsi="方正黑体_GBK" w:eastAsia="方正黑体_GBK" w:cs="Times New Roman"/>
          <w:b/>
          <w:bCs/>
          <w:vanish w:val="0"/>
          <w:color w:val="auto"/>
          <w:spacing w:val="0"/>
          <w:kern w:val="0"/>
          <w:sz w:val="15"/>
          <w:szCs w:val="15"/>
        </w:rPr>
        <w:t>。</w:t>
      </w:r>
      <w:r>
        <w:rPr>
          <w:rFonts w:hint="eastAsia" w:ascii="方正黑体_GBK" w:hAnsi="方正黑体_GBK" w:eastAsia="方正黑体_GBK"/>
          <w:b/>
          <w:bCs/>
          <w:vanish w:val="0"/>
          <w:color w:val="auto"/>
          <w:kern w:val="0"/>
          <w:sz w:val="15"/>
          <w:szCs w:val="15"/>
        </w:rPr>
        <w:t>管理人及销售机构保证信息采集、处理及使用的安全性和合法性</w:t>
      </w:r>
      <w:r>
        <w:rPr>
          <w:rFonts w:hint="eastAsia" w:ascii="方正黑体_GBK" w:hAnsi="方正黑体_GBK" w:eastAsia="方正黑体_GBK"/>
          <w:b/>
          <w:bCs/>
          <w:vanish w:val="0"/>
          <w:color w:val="auto"/>
          <w:spacing w:val="0"/>
          <w:kern w:val="0"/>
          <w:sz w:val="15"/>
          <w:szCs w:val="15"/>
        </w:rPr>
        <w:t>。</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本理财产品说明书在法律许可的范围内由管理人负责解释。若投资者对本理财说明书的内容有任何疑问或异议，</w:t>
      </w:r>
      <w:r>
        <w:rPr>
          <w:rFonts w:hint="eastAsia" w:ascii="方正黑体_GBK" w:hAnsi="方正黑体_GBK" w:eastAsia="方正黑体_GBK" w:cs="Times New Roman"/>
          <w:b/>
          <w:bCs/>
          <w:vanish w:val="0"/>
          <w:color w:val="auto"/>
          <w:kern w:val="0"/>
          <w:sz w:val="15"/>
          <w:szCs w:val="15"/>
        </w:rPr>
        <w:t>可与管理人或销售机构联系，管理人或销售机构将及时接听、记录投资者的意见或建议，并与投资者协商共同解决</w:t>
      </w:r>
      <w:r>
        <w:rPr>
          <w:rFonts w:hint="eastAsia" w:ascii="方正黑体_GBK" w:hAnsi="方正黑体_GBK" w:eastAsia="方正黑体_GBK"/>
          <w:b/>
          <w:bCs/>
          <w:vanish w:val="0"/>
          <w:color w:val="auto"/>
          <w:kern w:val="0"/>
          <w:sz w:val="15"/>
          <w:szCs w:val="15"/>
        </w:rPr>
        <w:t>。</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风险提示：</w:t>
      </w:r>
    </w:p>
    <w:p>
      <w:pPr>
        <w:pStyle w:val="36"/>
        <w:tabs>
          <w:tab w:val="left" w:pos="8033"/>
        </w:tabs>
        <w:ind w:left="0" w:firstLine="0"/>
        <w:jc w:val="left"/>
        <w:rPr>
          <w:rFonts w:hint="eastAsia" w:ascii="方正黑体_GBK" w:hAnsi="方正黑体_GBK" w:eastAsia="方正黑体_GBK"/>
          <w:sz w:val="20"/>
          <w:szCs w:val="20"/>
          <w:lang w:val="en-US" w:eastAsia="zh-CN"/>
        </w:rPr>
      </w:pPr>
      <w:r>
        <w:rPr>
          <w:rFonts w:hint="eastAsia" w:ascii="方正黑体_GBK" w:hAnsi="方正黑体_GBK" w:eastAsia="方正黑体_GBK"/>
          <w:b/>
          <w:bCs/>
          <w:color w:val="3D3D3D"/>
          <w:kern w:val="0"/>
          <w:sz w:val="15"/>
          <w:szCs w:val="15"/>
        </w:rPr>
        <w:t>本理财产品是</w:t>
      </w:r>
      <w:r>
        <w:rPr>
          <w:rFonts w:hint="eastAsia" w:ascii="方正黑体_GBK" w:hAnsi="方正黑体_GBK" w:eastAsia="方正黑体_GBK" w:cs="宋体"/>
          <w:b/>
          <w:bCs/>
          <w:i/>
          <w:iCs/>
          <w:caps w:val="0"/>
          <w:smallCaps w:val="0"/>
          <w:snapToGrid/>
          <w:vanish w:val="0"/>
          <w:color w:val="auto"/>
          <w:kern w:val="0"/>
          <w:sz w:val="20"/>
          <w:szCs w:val="18"/>
          <w:u w:val="single"/>
          <w:vertAlign w:val="baseline"/>
          <w:lang w:val="en-US" w:eastAsia="zh-CN"/>
        </w:rPr>
        <w:t>封闭式、固定收益类、公募、净值型</w:t>
      </w:r>
      <w:r>
        <w:rPr>
          <w:rFonts w:hint="eastAsia" w:ascii="方正黑体_GBK" w:hAnsi="方正黑体_GBK" w:eastAsia="方正黑体_GBK"/>
          <w:b/>
          <w:bCs/>
          <w:color w:val="3D3D3D"/>
          <w:kern w:val="0"/>
          <w:sz w:val="15"/>
          <w:szCs w:val="15"/>
        </w:rPr>
        <w:t>理财产品，</w:t>
      </w:r>
      <w:r>
        <w:rPr>
          <w:rFonts w:hint="eastAsia" w:ascii="方正黑体_GBK" w:hAnsi="方正黑体_GBK" w:eastAsia="方正黑体_GBK"/>
          <w:b/>
          <w:bCs/>
          <w:i/>
          <w:iCs/>
          <w:color w:val="3D3D3D"/>
          <w:kern w:val="0"/>
          <w:sz w:val="21"/>
          <w:szCs w:val="21"/>
          <w:u w:val="single"/>
        </w:rPr>
        <w:t>不保证本金和收益</w:t>
      </w:r>
      <w:r>
        <w:rPr>
          <w:rFonts w:hint="eastAsia" w:ascii="方正黑体_GBK" w:hAnsi="方正黑体_GBK" w:eastAsia="方正黑体_GBK"/>
          <w:b/>
          <w:bCs/>
          <w:color w:val="3D3D3D"/>
          <w:kern w:val="0"/>
          <w:sz w:val="15"/>
          <w:szCs w:val="15"/>
        </w:rPr>
        <w:t>，您的本金与收益可能会蒙受重大损失，您应仔细阅读</w:t>
      </w:r>
      <w:r>
        <w:rPr>
          <w:rFonts w:hint="eastAsia" w:ascii="方正黑体_GBK" w:hAnsi="方正黑体_GBK" w:eastAsia="方正黑体_GBK" w:cs="Times New Roman"/>
          <w:b/>
          <w:bCs/>
          <w:color w:val="3D3D3D"/>
          <w:kern w:val="0"/>
          <w:sz w:val="15"/>
          <w:szCs w:val="15"/>
        </w:rPr>
        <w:t>《理财产品风险揭示书》《理财产品说明书》《投资者权益须知》《理财产品销售协议书》《理财产品投资协议书》</w:t>
      </w:r>
      <w:r>
        <w:rPr>
          <w:rFonts w:hint="eastAsia" w:ascii="方正黑体_GBK" w:hAnsi="方正黑体_GBK" w:eastAsia="方正黑体_GBK"/>
          <w:b/>
          <w:bCs/>
          <w:color w:val="3D3D3D"/>
          <w:kern w:val="0"/>
          <w:sz w:val="15"/>
          <w:szCs w:val="15"/>
        </w:rPr>
        <w:t>，充分认识投资风险，谨慎投资。</w:t>
      </w:r>
    </w:p>
    <w:p>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b/>
          <w:bCs/>
          <w:vanish w:val="0"/>
          <w:kern w:val="0"/>
          <w:sz w:val="24"/>
          <w:szCs w:val="24"/>
        </w:rPr>
      </w:pPr>
      <w:r>
        <w:rPr>
          <w:rFonts w:hint="eastAsia" w:ascii="方正黑体_GBK" w:hAnsi="方正黑体_GBK" w:eastAsia="方正黑体_GBK"/>
          <w:b/>
          <w:bCs/>
          <w:vanish w:val="0"/>
          <w:kern w:val="0"/>
          <w:sz w:val="24"/>
          <w:szCs w:val="24"/>
        </w:rPr>
        <w:t>理财产品风险揭示书</w:t>
      </w:r>
    </w:p>
    <w:p>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vanish w:val="0"/>
          <w:color w:val="3D3D3D"/>
          <w:kern w:val="0"/>
          <w:sz w:val="18"/>
          <w:szCs w:val="18"/>
        </w:rPr>
      </w:pP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cs="Times New Roman"/>
          <w:b/>
          <w:bCs/>
          <w:i/>
          <w:iCs/>
          <w:vanish w:val="0"/>
          <w:kern w:val="0"/>
          <w:sz w:val="24"/>
          <w:szCs w:val="24"/>
          <w:u w:val="single"/>
        </w:rPr>
        <w:t>理财非存款、产品有风险、投资须谨慎</w:t>
      </w: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b/>
          <w:bCs/>
          <w:i/>
          <w:iCs/>
          <w:vanish w:val="0"/>
          <w:kern w:val="0"/>
          <w:sz w:val="24"/>
          <w:szCs w:val="24"/>
          <w:u w:val="singl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1" w:firstLineChars="200"/>
        <w:rPr>
          <w:rFonts w:hint="eastAsia" w:ascii="方正黑体_GBK" w:hAnsi="方正黑体_GBK" w:eastAsia="方正黑体_GBK" w:cs="Times New Roman"/>
          <w:b/>
          <w:bCs w:val="0"/>
          <w:vanish w:val="0"/>
          <w:color w:val="3D3D3D"/>
          <w:kern w:val="0"/>
          <w:sz w:val="13"/>
          <w:szCs w:val="13"/>
        </w:rPr>
      </w:pPr>
      <w:r>
        <w:rPr>
          <w:rFonts w:hint="eastAsia" w:ascii="方正黑体_GBK" w:hAnsi="方正黑体_GBK" w:eastAsia="方正黑体_GBK"/>
          <w:b/>
          <w:bCs w:val="0"/>
          <w:vanish w:val="0"/>
          <w:color w:val="3D3D3D"/>
          <w:kern w:val="0"/>
          <w:sz w:val="13"/>
          <w:szCs w:val="13"/>
        </w:rPr>
        <w:t>本理财产品是</w:t>
      </w:r>
      <w:r>
        <w:rPr>
          <w:rFonts w:hint="eastAsia" w:ascii="方正黑体_GBK" w:hAnsi="方正黑体_GBK" w:eastAsia="方正黑体_GBK"/>
          <w:b/>
          <w:bCs w:val="0"/>
          <w:i/>
          <w:iCs/>
          <w:vanish w:val="0"/>
          <w:color w:val="3D3D3D"/>
          <w:kern w:val="0"/>
          <w:sz w:val="20"/>
          <w:szCs w:val="20"/>
          <w:u w:val="single"/>
        </w:rPr>
        <w:t>封闭式、固定收益类、公募、净值型</w:t>
      </w:r>
      <w:r>
        <w:rPr>
          <w:rFonts w:hint="eastAsia" w:ascii="方正黑体_GBK" w:hAnsi="方正黑体_GBK" w:eastAsia="方正黑体_GBK"/>
          <w:b/>
          <w:bCs w:val="0"/>
          <w:vanish w:val="0"/>
          <w:color w:val="3D3D3D"/>
          <w:kern w:val="0"/>
          <w:sz w:val="13"/>
          <w:szCs w:val="13"/>
        </w:rPr>
        <w:t>理财产品，</w:t>
      </w:r>
      <w:r>
        <w:rPr>
          <w:rFonts w:hint="eastAsia" w:ascii="方正黑体_GBK" w:hAnsi="方正黑体_GBK" w:eastAsia="方正黑体_GBK" w:cs="Times New Roman"/>
          <w:b/>
          <w:bCs w:val="0"/>
          <w:i/>
          <w:iCs/>
          <w:vanish w:val="0"/>
          <w:color w:val="3D3D3D"/>
          <w:kern w:val="0"/>
          <w:sz w:val="20"/>
          <w:szCs w:val="20"/>
          <w:u w:val="single"/>
        </w:rPr>
        <w:t>不保证本金和收益</w:t>
      </w:r>
      <w:r>
        <w:rPr>
          <w:rFonts w:hint="eastAsia" w:ascii="方正黑体_GBK" w:hAnsi="方正黑体_GBK" w:eastAsia="方正黑体_GBK"/>
          <w:b/>
          <w:bCs w:val="0"/>
          <w:vanish w:val="0"/>
          <w:color w:val="3D3D3D"/>
          <w:kern w:val="0"/>
          <w:sz w:val="13"/>
          <w:szCs w:val="13"/>
        </w:rPr>
        <w:t>，您（以下或称为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投资者</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）的本金与收益可能会蒙受</w:t>
      </w:r>
      <w:r>
        <w:rPr>
          <w:rFonts w:hint="eastAsia" w:ascii="方正黑体_GBK" w:hAnsi="方正黑体_GBK" w:eastAsia="方正黑体_GBK" w:cs="Times New Roman"/>
          <w:b/>
          <w:bCs w:val="0"/>
          <w:vanish w:val="0"/>
          <w:color w:val="3D3D3D"/>
          <w:kern w:val="0"/>
          <w:sz w:val="13"/>
          <w:szCs w:val="13"/>
        </w:rPr>
        <w:t>全部或部分</w:t>
      </w:r>
      <w:r>
        <w:rPr>
          <w:rFonts w:hint="eastAsia" w:ascii="方正黑体_GBK" w:hAnsi="方正黑体_GBK" w:eastAsia="方正黑体_GBK"/>
          <w:b/>
          <w:bCs w:val="0"/>
          <w:vanish w:val="0"/>
          <w:color w:val="3D3D3D"/>
          <w:kern w:val="0"/>
          <w:sz w:val="13"/>
          <w:szCs w:val="13"/>
        </w:rPr>
        <w:t>损失，</w:t>
      </w:r>
      <w:r>
        <w:rPr>
          <w:rFonts w:hint="eastAsia" w:ascii="方正黑体_GBK" w:hAnsi="方正黑体_GBK" w:eastAsia="方正黑体_GBK" w:cs="Times New Roman"/>
          <w:b/>
          <w:bCs w:val="0"/>
          <w:vanish w:val="0"/>
          <w:color w:val="3D3D3D"/>
          <w:kern w:val="0"/>
          <w:sz w:val="13"/>
          <w:szCs w:val="13"/>
        </w:rPr>
        <w:t>在您选择购买本理财产品前，您应仔细阅读</w:t>
      </w:r>
      <w:r>
        <w:rPr>
          <w:rFonts w:hint="eastAsia" w:ascii="方正黑体_GBK" w:hAnsi="方正黑体_GBK" w:eastAsia="方正黑体_GBK"/>
          <w:b/>
          <w:bCs w:val="0"/>
          <w:vanish w:val="0"/>
          <w:color w:val="3D3D3D"/>
          <w:kern w:val="0"/>
          <w:sz w:val="13"/>
          <w:szCs w:val="13"/>
        </w:rPr>
        <w:t>对应期次的《理财产品风险揭示书》《理财产品说明书》《投资者权益须知》《理财产品销售协议书》</w:t>
      </w:r>
      <w:r>
        <w:rPr>
          <w:rFonts w:hint="eastAsia" w:ascii="方正黑体_GBK" w:hAnsi="方正黑体_GBK" w:eastAsia="方正黑体_GBK" w:cs="Times New Roman"/>
          <w:b/>
          <w:bCs w:val="0"/>
          <w:vanish w:val="0"/>
          <w:color w:val="3D3D3D"/>
          <w:kern w:val="0"/>
          <w:sz w:val="13"/>
          <w:szCs w:val="13"/>
        </w:rPr>
        <w:t>和《理财产品投资协议书》</w:t>
      </w:r>
      <w:r>
        <w:rPr>
          <w:rFonts w:hint="eastAsia" w:ascii="方正黑体_GBK" w:hAnsi="方正黑体_GBK" w:eastAsia="方正黑体_GBK"/>
          <w:b/>
          <w:bCs w:val="0"/>
          <w:vanish w:val="0"/>
          <w:color w:val="3D3D3D"/>
          <w:kern w:val="0"/>
          <w:sz w:val="13"/>
          <w:szCs w:val="13"/>
        </w:rPr>
        <w:t>（以下合称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理财产品销售文件</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，了解本理财产品信息及详细</w:t>
      </w:r>
      <w:r>
        <w:rPr>
          <w:rFonts w:hint="eastAsia" w:ascii="方正黑体_GBK" w:hAnsi="方正黑体_GBK" w:eastAsia="方正黑体_GBK"/>
          <w:b/>
          <w:bCs w:val="0"/>
          <w:vanish w:val="0"/>
          <w:color w:val="3D3D3D"/>
          <w:kern w:val="0"/>
          <w:sz w:val="13"/>
          <w:szCs w:val="13"/>
        </w:rPr>
        <w:t>条款</w:t>
      </w:r>
      <w:r>
        <w:rPr>
          <w:rFonts w:hint="eastAsia" w:ascii="方正黑体_GBK" w:hAnsi="方正黑体_GBK" w:eastAsia="方正黑体_GBK" w:cs="Times New Roman"/>
          <w:b/>
          <w:bCs w:val="0"/>
          <w:vanish w:val="0"/>
          <w:color w:val="3D3D3D"/>
          <w:kern w:val="0"/>
          <w:sz w:val="13"/>
          <w:szCs w:val="13"/>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1" w:firstLineChars="200"/>
        <w:rPr>
          <w:rFonts w:ascii="方正黑体_GBK" w:hAnsi="方正黑体_GBK" w:eastAsia="方正黑体_GBK"/>
          <w:b/>
          <w:bCs w:val="0"/>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重要提示：</w:t>
      </w:r>
      <w:r>
        <w:rPr>
          <w:rFonts w:hint="eastAsia" w:ascii="方正黑体_GBK" w:hAnsi="方正黑体_GBK" w:eastAsia="方正黑体_GBK"/>
          <w:b/>
          <w:bCs w:val="0"/>
          <w:vanish w:val="0"/>
          <w:color w:val="3D3D3D"/>
          <w:kern w:val="0"/>
          <w:sz w:val="13"/>
          <w:szCs w:val="13"/>
        </w:rPr>
        <w:t>南银理财有限责任公司（以下简称为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南银理财</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、“理财产品管理人”、“产品管理人”或“管理人”</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ascii="方正黑体_GBK" w:hAnsi="方正黑体_GBK" w:eastAsia="方正黑体_GBK"/>
          <w:b/>
          <w:bCs w:val="0"/>
          <w:vanish w:val="0"/>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ascii="方正黑体_GBK" w:hAnsi="方正黑体_GBK" w:eastAsia="方正黑体_GBK" w:cs="Times New Roman"/>
          <w:b/>
          <w:bCs w:val="0"/>
          <w:vanish w:val="0"/>
          <w:color w:val="3D3D3D"/>
          <w:kern w:val="0"/>
          <w:sz w:val="13"/>
          <w:szCs w:val="13"/>
        </w:rPr>
        <w:t>您应该充分认识本理财产品的投资风险，本着</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充分了解风险，自主选择购买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的原则，谨慎决策</w:t>
      </w:r>
      <w:r>
        <w:rPr>
          <w:rFonts w:hint="eastAsia" w:ascii="方正黑体_GBK" w:hAnsi="方正黑体_GBK" w:eastAsia="方正黑体_GBK"/>
          <w:b/>
          <w:bCs w:val="0"/>
          <w:vanish w:val="0"/>
          <w:color w:val="3D3D3D"/>
          <w:kern w:val="0"/>
          <w:sz w:val="13"/>
          <w:szCs w:val="13"/>
        </w:rPr>
        <w:t>，自主决定将合法所有的自有资金用于购买本理财产品。理财产品过往业绩不代表其未来表现，不等于理财产品实际收益，</w:t>
      </w:r>
      <w:r>
        <w:rPr>
          <w:rFonts w:hint="eastAsia" w:ascii="方正黑体_GBK" w:hAnsi="方正黑体_GBK" w:eastAsia="方正黑体_GBK" w:cs="Times New Roman"/>
          <w:b/>
          <w:bCs w:val="0"/>
          <w:vanish w:val="0"/>
          <w:color w:val="3D3D3D"/>
          <w:kern w:val="0"/>
          <w:sz w:val="13"/>
          <w:szCs w:val="13"/>
        </w:rPr>
        <w:t>不构成管理人对理财产品业绩表现的保证，</w:t>
      </w:r>
      <w:r>
        <w:rPr>
          <w:rFonts w:hint="eastAsia" w:ascii="方正黑体_GBK" w:hAnsi="方正黑体_GBK" w:eastAsia="方正黑体_GBK"/>
          <w:b/>
          <w:bCs w:val="0"/>
          <w:vanish w:val="0"/>
          <w:color w:val="3D3D3D"/>
          <w:kern w:val="0"/>
          <w:sz w:val="13"/>
          <w:szCs w:val="13"/>
        </w:rPr>
        <w:t>投资须谨慎</w:t>
      </w:r>
      <w:r>
        <w:rPr>
          <w:rFonts w:hint="eastAsia" w:ascii="方正黑体_GBK" w:hAnsi="方正黑体_GBK" w:eastAsia="方正黑体_GBK" w:cs="Times New Roman"/>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在购买本理财产品后，您应随时关注产品的信息披露情况，及时获取相关信息。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1"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l="0"/>
          <w:vanish w:val="0"/>
          <w:color w:val="3D3D3D"/>
          <w:kern w:val="0"/>
          <w:sz w:val="13"/>
          <w:szCs w:val="13"/>
        </w:rPr>
        <w:t>本风险揭示书列示的风险指理财产品项下可能涉及的风险，包括但不限于：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第一条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理财产品共性风险提示和管控措施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（一）政策风险：</w:t>
      </w:r>
      <w:r>
        <w:rPr>
          <w:rFonts w:hint="eastAsia" w:ascii="方正黑体_GBK" w:hAnsi="方正黑体_GBK" w:eastAsia="方正黑体_GBK" w:cs="Times New Roman"/>
          <w:vanish w:val="0"/>
          <w:color w:val="3D3D3D"/>
          <w:kern w:val="0"/>
          <w:sz w:val="13"/>
          <w:szCs w:val="13"/>
        </w:rPr>
        <w:t>本</w:t>
      </w:r>
      <w:r>
        <w:rPr>
          <w:rFonts w:hint="eastAsia" w:ascii="方正黑体_GBK" w:hAnsi="方正黑体_GBK" w:eastAsia="方正黑体_GBK"/>
          <w:vanish w:val="0"/>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ascii="方正黑体_GBK" w:hAnsi="方正黑体_GBK" w:eastAsia="方正黑体_GBK" w:cs="Times New Roman"/>
          <w:vanish w:val="0"/>
          <w:color w:val="3D3D3D"/>
          <w:kern w:val="0"/>
          <w:sz w:val="13"/>
          <w:szCs w:val="13"/>
        </w:rPr>
        <w:t>导致</w:t>
      </w:r>
      <w:r>
        <w:rPr>
          <w:rFonts w:hint="eastAsia" w:ascii="方正黑体_GBK" w:hAnsi="方正黑体_GBK" w:eastAsia="方正黑体_GBK"/>
          <w:vanish w:val="0"/>
          <w:color w:val="3D3D3D"/>
          <w:kern w:val="0"/>
          <w:sz w:val="13"/>
          <w:szCs w:val="13"/>
        </w:rPr>
        <w:t>理财产品的收益降低</w:t>
      </w:r>
      <w:r>
        <w:rPr>
          <w:rFonts w:hint="eastAsia" w:ascii="方正黑体_GBK" w:hAnsi="方正黑体_GBK" w:eastAsia="方正黑体_GBK" w:cs="Times New Roman"/>
          <w:vanish w:val="0"/>
          <w:color w:val="3D3D3D"/>
          <w:kern w:val="0"/>
          <w:sz w:val="13"/>
          <w:szCs w:val="13"/>
        </w:rPr>
        <w:t>或无法取得任何收益</w:t>
      </w:r>
      <w:r>
        <w:rPr>
          <w:rFonts w:hint="eastAsia" w:ascii="方正黑体_GBK" w:hAnsi="方正黑体_GBK" w:eastAsia="方正黑体_GBK"/>
          <w:vanish w:val="0"/>
          <w:color w:val="3D3D3D"/>
          <w:kern w:val="0"/>
          <w:sz w:val="13"/>
          <w:szCs w:val="13"/>
        </w:rPr>
        <w:t>甚至本理财产品的本金遭受</w:t>
      </w:r>
      <w:r>
        <w:rPr>
          <w:rFonts w:hint="eastAsia" w:ascii="方正黑体_GBK" w:hAnsi="方正黑体_GBK" w:eastAsia="方正黑体_GBK" w:cs="Times New Roman"/>
          <w:vanish w:val="0"/>
          <w:color w:val="3D3D3D"/>
          <w:kern w:val="0"/>
          <w:sz w:val="13"/>
          <w:szCs w:val="13"/>
        </w:rPr>
        <w:t>部分或全部</w:t>
      </w:r>
      <w:r>
        <w:rPr>
          <w:rFonts w:hint="eastAsia" w:ascii="方正黑体_GBK" w:hAnsi="方正黑体_GBK" w:eastAsia="方正黑体_GBK"/>
          <w:vanish w:val="0"/>
          <w:color w:val="3D3D3D"/>
          <w:kern w:val="0"/>
          <w:sz w:val="13"/>
          <w:szCs w:val="13"/>
        </w:rPr>
        <w:t>损失，也可能导致本理财产品违反国家法律、法规或者其他合同的有关规定，进而导致本理财产品被宣告无效、撤销、解除或提前终止等。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（二）信用风险：</w:t>
      </w:r>
      <w:r>
        <w:rPr>
          <w:rFonts w:hint="eastAsia" w:ascii="方正黑体_GBK" w:hAnsi="方正黑体_GBK" w:eastAsia="方正黑体_GBK" w:cs="Times New Roman"/>
          <w:vanish w:val="0"/>
          <w:color w:val="3D3D3D"/>
          <w:kern w:val="0"/>
          <w:sz w:val="13"/>
          <w:szCs w:val="13"/>
        </w:rPr>
        <w:t>本理财产品收益来源于理财产品项下投资对象的回报。</w:t>
      </w:r>
      <w:r>
        <w:rPr>
          <w:rFonts w:hint="eastAsia" w:ascii="方正黑体_GBK" w:hAnsi="方正黑体_GBK" w:eastAsia="方正黑体_GBK"/>
          <w:vanish w:val="0"/>
          <w:color w:val="3D3D3D"/>
          <w:kern w:val="0"/>
          <w:sz w:val="13"/>
          <w:szCs w:val="13"/>
        </w:rPr>
        <w:t>本理财产品所投资的资产，可能因债务人违约或者其他原因在投资期限届满时不能足额变现，由此可能导致本理财产品的本金及收益遭受损失。</w:t>
      </w:r>
      <w:r>
        <w:rPr>
          <w:rFonts w:hint="eastAsia" w:ascii="方正黑体_GBK" w:hAnsi="方正黑体_GBK" w:eastAsia="方正黑体_GBK" w:cs="Times New Roman"/>
          <w:vanish w:val="0"/>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理财产品投资不同类型的资产可能面临的市场风险包括但不限于：</w:t>
      </w:r>
      <w:r>
        <w:rPr>
          <w:rFonts w:ascii="方正黑体_GBK" w:hAnsi="方正黑体_GBK" w:eastAsia="方正黑体_GBK"/>
          <w:vanish w:val="0"/>
          <w:color w:val="3D3D3D"/>
          <w:kern w:val="0"/>
          <w:sz w:val="13"/>
          <w:szCs w:val="13"/>
        </w:rPr>
        <w:t>1.</w:t>
      </w:r>
      <w:r>
        <w:rPr>
          <w:rFonts w:hint="eastAsia" w:ascii="方正黑体_GBK" w:hAnsi="方正黑体_GBK" w:eastAsia="方正黑体_GBK"/>
          <w:vanish w:val="0"/>
          <w:color w:val="3D3D3D"/>
          <w:kern w:val="0"/>
          <w:sz w:val="13"/>
          <w:szCs w:val="13"/>
        </w:rPr>
        <w:t>理财产品投资债券等固定收益率资产将面临利率、汇率变化等市场风险以及债券价格波动风险；</w:t>
      </w:r>
      <w:r>
        <w:rPr>
          <w:rFonts w:ascii="方正黑体_GBK" w:hAnsi="方正黑体_GBK" w:eastAsia="方正黑体_GBK"/>
          <w:vanish w:val="0"/>
          <w:color w:val="3D3D3D"/>
          <w:kern w:val="0"/>
          <w:sz w:val="13"/>
          <w:szCs w:val="13"/>
        </w:rPr>
        <w:t>2.</w:t>
      </w:r>
      <w:r>
        <w:rPr>
          <w:rFonts w:hint="eastAsia" w:ascii="方正黑体_GBK" w:hAnsi="方正黑体_GBK" w:eastAsia="方正黑体_GBK"/>
          <w:vanish w:val="0"/>
          <w:color w:val="3D3D3D"/>
          <w:kern w:val="0"/>
          <w:sz w:val="13"/>
          <w:szCs w:val="13"/>
        </w:rPr>
        <w:t>理财产品投资股票等权益类资产将面临股票价格波动风险和股票发行人的经营风险、管理风险等风险；</w:t>
      </w:r>
      <w:r>
        <w:rPr>
          <w:rFonts w:ascii="方正黑体_GBK" w:hAnsi="方正黑体_GBK" w:eastAsia="方正黑体_GBK"/>
          <w:vanish w:val="0"/>
          <w:color w:val="3D3D3D"/>
          <w:kern w:val="0"/>
          <w:sz w:val="13"/>
          <w:szCs w:val="13"/>
        </w:rPr>
        <w:t>3.</w:t>
      </w:r>
      <w:r>
        <w:rPr>
          <w:rFonts w:hint="eastAsia" w:ascii="方正黑体_GBK" w:hAnsi="方正黑体_GBK" w:eastAsia="方正黑体_GBK"/>
          <w:vanish w:val="0"/>
          <w:color w:val="3D3D3D"/>
          <w:kern w:val="0"/>
          <w:sz w:val="13"/>
          <w:szCs w:val="13"/>
        </w:rPr>
        <w:t>理财产品投资商品及金融衍生品类产品可能面临衍生品公允价值变化风险</w:t>
      </w:r>
      <w:r>
        <w:rPr>
          <w:rFonts w:hint="eastAsia" w:ascii="方正黑体_GBK" w:hAnsi="方正黑体_GBK" w:eastAsia="方正黑体_GBK" w:cs="Times New Roman"/>
          <w:vanish w:val="0"/>
          <w:color w:val="3D3D3D"/>
          <w:kern w:val="0"/>
          <w:sz w:val="13"/>
          <w:szCs w:val="13"/>
        </w:rPr>
        <w:t>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ascii="方正黑体_GBK" w:hAnsi="方正黑体_GBK" w:eastAsia="方正黑体_GBK" w:cs="Times New Roman"/>
          <w:vanish w:val="0"/>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ascii="方正黑体_GBK" w:hAnsi="方正黑体_GBK" w:eastAsia="方正黑体_GBK"/>
          <w:vanish w:val="0"/>
          <w:color w:val="3D3D3D"/>
          <w:kern w:val="0"/>
          <w:sz w:val="13"/>
          <w:szCs w:val="13"/>
        </w:rPr>
        <w:t>当市场上出现更高收益的产品时，将有可能</w:t>
      </w:r>
      <w:r>
        <w:rPr>
          <w:rFonts w:hint="eastAsia" w:ascii="方正黑体_GBK" w:hAnsi="方正黑体_GBK" w:eastAsia="方正黑体_GBK" w:cs="Times New Roman"/>
          <w:vanish w:val="0"/>
          <w:color w:val="3D3D3D"/>
          <w:kern w:val="0"/>
          <w:sz w:val="13"/>
          <w:szCs w:val="13"/>
        </w:rPr>
        <w:t>导致投资者</w:t>
      </w:r>
      <w:r>
        <w:rPr>
          <w:rFonts w:hint="eastAsia" w:ascii="方正黑体_GBK" w:hAnsi="方正黑体_GBK" w:eastAsia="方正黑体_GBK"/>
          <w:vanish w:val="0"/>
          <w:color w:val="3D3D3D"/>
          <w:kern w:val="0"/>
          <w:sz w:val="13"/>
          <w:szCs w:val="13"/>
        </w:rPr>
        <w:t>因此丧失其他投资机会。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（八）</w:t>
      </w:r>
      <w:r>
        <w:rPr>
          <w:rFonts w:hint="eastAsia" w:ascii="方正黑体_GBK" w:hAnsi="方正黑体_GBK" w:eastAsia="方正黑体_GBK" w:cs="Times New Roman"/>
          <w:vanish w:val="0"/>
          <w:color w:val="3D3D3D"/>
          <w:kern w:val="0"/>
          <w:sz w:val="13"/>
          <w:szCs w:val="13"/>
        </w:rPr>
        <w:t>理财</w:t>
      </w:r>
      <w:r>
        <w:rPr>
          <w:rFonts w:hint="eastAsia" w:ascii="方正黑体_GBK" w:hAnsi="方正黑体_GBK" w:eastAsia="方正黑体_GBK"/>
          <w:vanish w:val="0"/>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ascii="方正黑体_GBK" w:hAnsi="方正黑体_GBK" w:eastAsia="方正黑体_GBK" w:cs="Times New Roman"/>
          <w:vanish w:val="0"/>
          <w:color w:val="3D3D3D"/>
          <w:kern w:val="0"/>
          <w:sz w:val="13"/>
          <w:szCs w:val="13"/>
        </w:rPr>
        <w:t>（或通过销售机构通知）</w:t>
      </w:r>
      <w:r>
        <w:rPr>
          <w:rFonts w:hint="eastAsia" w:ascii="方正黑体_GBK" w:hAnsi="方正黑体_GBK" w:eastAsia="方正黑体_GBK"/>
          <w:vanish w:val="0"/>
          <w:color w:val="3D3D3D"/>
          <w:kern w:val="0"/>
          <w:sz w:val="13"/>
          <w:szCs w:val="13"/>
        </w:rPr>
        <w:t>理财产品不成立且不承担任何违约责任，投资者将面临再投资风险。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（九）延期分配风险：如因理财产品投资的资产</w:t>
      </w:r>
      <w:r>
        <w:rPr>
          <w:rFonts w:hint="eastAsia" w:ascii="方正黑体_GBK" w:hAnsi="方正黑体_GBK" w:eastAsia="方正黑体_GBK" w:cs="Times New Roman"/>
          <w:vanish w:val="0"/>
          <w:color w:val="3D3D3D"/>
          <w:kern w:val="0"/>
          <w:sz w:val="13"/>
          <w:szCs w:val="13"/>
        </w:rPr>
        <w:t>市场流动性不足或受限导致未能正常买卖结算，或投资资产正常到期，投资资产相关发行人或融资主体未能及时偿付本息，所投资工具</w:t>
      </w:r>
      <w:r>
        <w:rPr>
          <w:rFonts w:hint="eastAsia" w:ascii="方正黑体_GBK" w:hAnsi="方正黑体_GBK" w:eastAsia="方正黑体_GBK"/>
          <w:vanish w:val="0"/>
          <w:color w:val="3D3D3D"/>
          <w:kern w:val="0"/>
          <w:sz w:val="13"/>
          <w:szCs w:val="13"/>
        </w:rPr>
        <w:t>无法及时变现等原因造成不能按时支付理财产品本金和收益，则投资者面临理财产品期限延期、调整等风险。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ascii="方正黑体_GBK" w:hAnsi="方正黑体_GBK" w:eastAsia="方正黑体_GBK" w:cs="Times New Roman"/>
          <w:b/>
          <w:bCs/>
          <w:vanish w:val="0"/>
          <w:color w:val="3D3D3D"/>
          <w:kern w:val="0"/>
          <w:sz w:val="13"/>
          <w:szCs w:val="13"/>
        </w:rPr>
        <w:t>者</w:t>
      </w:r>
      <w:r>
        <w:rPr>
          <w:rFonts w:hint="eastAsia" w:ascii="方正黑体_GBK" w:hAnsi="方正黑体_GBK" w:eastAsia="方正黑体_GBK"/>
          <w:b/>
          <w:bCs/>
          <w:vanish w:val="0"/>
          <w:color w:val="3D3D3D"/>
          <w:kern w:val="0"/>
          <w:sz w:val="13"/>
          <w:szCs w:val="13"/>
        </w:rPr>
        <w:t>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南银理财按照对应期次《理财产品说明书》有关条款的约定，发布当期理财产品的运作、到期清算或提前终止等信息公告</w:t>
      </w:r>
      <w:r>
        <w:rPr>
          <w:rFonts w:hint="eastAsia" w:ascii="方正黑体_GBK" w:hAnsi="方正黑体_GBK" w:eastAsia="方正黑体_GBK" w:cs="Times New Roman"/>
          <w:b/>
          <w:bCs/>
          <w:vanish w:val="0"/>
          <w:color w:val="3D3D3D"/>
          <w:kern w:val="0"/>
          <w:sz w:val="13"/>
          <w:szCs w:val="13"/>
        </w:rPr>
        <w:t>或报告</w:t>
      </w:r>
      <w:r>
        <w:rPr>
          <w:rFonts w:hint="eastAsia" w:ascii="方正黑体_GBK" w:hAnsi="方正黑体_GBK" w:eastAsia="方正黑体_GBK"/>
          <w:b/>
          <w:bCs/>
          <w:vanish w:val="0"/>
          <w:color w:val="3D3D3D"/>
          <w:kern w:val="0"/>
          <w:sz w:val="13"/>
          <w:szCs w:val="13"/>
        </w:rPr>
        <w:t>。投资者应根据《理财产品说明书》中约定的</w:t>
      </w:r>
      <w:r>
        <w:rPr>
          <w:rFonts w:hint="eastAsia" w:ascii="方正黑体_GBK" w:hAnsi="方正黑体_GBK" w:eastAsia="方正黑体_GBK" w:cs="Times New Roman"/>
          <w:b/>
          <w:bCs/>
          <w:vanish w:val="0"/>
          <w:color w:val="3D3D3D"/>
          <w:kern w:val="0"/>
          <w:sz w:val="13"/>
          <w:szCs w:val="13"/>
        </w:rPr>
        <w:t>信息披露</w:t>
      </w:r>
      <w:r>
        <w:rPr>
          <w:rFonts w:hint="eastAsia" w:ascii="方正黑体_GBK" w:hAnsi="方正黑体_GBK" w:eastAsia="方正黑体_GBK"/>
          <w:b/>
          <w:bCs/>
          <w:vanish w:val="0"/>
          <w:color w:val="3D3D3D"/>
          <w:kern w:val="0"/>
          <w:sz w:val="13"/>
          <w:szCs w:val="13"/>
        </w:rPr>
        <w:t>渠道及时查询相关信息</w:t>
      </w:r>
      <w:r>
        <w:rPr>
          <w:rFonts w:hint="eastAsia" w:ascii="方正黑体_GBK" w:hAnsi="方正黑体_GBK" w:eastAsia="方正黑体_GBK" w:cs="Times New Roman"/>
          <w:b/>
          <w:bCs/>
          <w:vanish w:val="0"/>
          <w:color w:val="3D3D3D"/>
          <w:kern w:val="0"/>
          <w:sz w:val="13"/>
          <w:szCs w:val="13"/>
        </w:rPr>
        <w:t>，</w:t>
      </w:r>
      <w:r>
        <w:rPr>
          <w:rFonts w:hint="eastAsia" w:ascii="方正黑体_GBK" w:hAnsi="方正黑体_GBK" w:eastAsia="方正黑体_GBK"/>
          <w:b/>
          <w:bCs/>
          <w:vanish w:val="0"/>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ascii="方正黑体_GBK" w:hAnsi="方正黑体_GBK" w:eastAsia="方正黑体_GBK" w:cs="Times New Roman"/>
          <w:b/>
          <w:bCs/>
          <w:vanish w:val="0"/>
          <w:color w:val="3D3D3D"/>
          <w:kern w:val="0"/>
          <w:sz w:val="13"/>
          <w:szCs w:val="13"/>
        </w:rPr>
        <w:t>投资者承担</w:t>
      </w:r>
      <w:r>
        <w:rPr>
          <w:rFonts w:hint="eastAsia" w:ascii="方正黑体_GBK" w:hAnsi="方正黑体_GBK" w:eastAsia="方正黑体_GBK"/>
          <w:b/>
          <w:bCs/>
          <w:vanish w:val="0"/>
          <w:color w:val="3D3D3D"/>
          <w:kern w:val="0"/>
          <w:sz w:val="13"/>
          <w:szCs w:val="13"/>
        </w:rPr>
        <w:t>因此而产生的责任和风险。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（十二）不可抗力及意外事件风险：理财产品面临的不可抗力及意外事件风险是指</w:t>
      </w:r>
      <w:r>
        <w:rPr>
          <w:rFonts w:hint="eastAsia" w:ascii="方正黑体_GBK" w:hAnsi="方正黑体_GBK" w:eastAsia="方正黑体_GBK" w:cs="Times New Roman"/>
          <w:vanish w:val="0"/>
          <w:color w:val="3D3D3D"/>
          <w:kern w:val="0"/>
          <w:sz w:val="13"/>
          <w:szCs w:val="13"/>
        </w:rPr>
        <w:t>《理财产品说明书》规定的不可抗力或</w:t>
      </w:r>
      <w:r>
        <w:rPr>
          <w:rFonts w:hint="eastAsia" w:ascii="方正黑体_GBK" w:hAnsi="方正黑体_GBK" w:eastAsia="方正黑体_GBK"/>
          <w:vanish w:val="0"/>
          <w:color w:val="3D3D3D"/>
          <w:kern w:val="0"/>
          <w:sz w:val="13"/>
          <w:szCs w:val="13"/>
        </w:rPr>
        <w:t>南银理财、</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、托管机构系统故障、通讯故障、投资市场停止交易等意外事件的出现，严重影响金融市场的正常运行，从而</w:t>
      </w:r>
      <w:r>
        <w:rPr>
          <w:rFonts w:hint="eastAsia" w:ascii="方正黑体_GBK" w:hAnsi="方正黑体_GBK" w:eastAsia="方正黑体_GBK" w:cs="Times New Roman"/>
          <w:vanish w:val="0"/>
          <w:color w:val="3D3D3D"/>
          <w:kern w:val="0"/>
          <w:sz w:val="13"/>
          <w:szCs w:val="13"/>
        </w:rPr>
        <w:t>对</w:t>
      </w:r>
      <w:r>
        <w:rPr>
          <w:rFonts w:hint="eastAsia" w:ascii="方正黑体_GBK" w:hAnsi="方正黑体_GBK" w:eastAsia="方正黑体_GBK"/>
          <w:vanish w:val="0"/>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ascii="方正黑体_GBK" w:hAnsi="方正黑体_GBK" w:eastAsia="方正黑体_GBK" w:cs="Times New Roman"/>
          <w:vanish w:val="0"/>
          <w:color w:val="3D3D3D"/>
          <w:kern w:val="0"/>
          <w:sz w:val="13"/>
          <w:szCs w:val="13"/>
        </w:rPr>
        <w:t>本金和收益遭受</w:t>
      </w:r>
      <w:r>
        <w:rPr>
          <w:rFonts w:hint="eastAsia" w:ascii="方正黑体_GBK" w:hAnsi="方正黑体_GBK" w:eastAsia="方正黑体_GBK"/>
          <w:vanish w:val="0"/>
          <w:color w:val="3D3D3D"/>
          <w:kern w:val="0"/>
          <w:sz w:val="13"/>
          <w:szCs w:val="13"/>
        </w:rPr>
        <w:t>损失的风险。</w:t>
      </w:r>
      <w:r>
        <w:rPr>
          <w:rFonts w:hint="eastAsia" w:ascii="方正黑体_GBK" w:hAnsi="方正黑体_GBK" w:eastAsia="方正黑体_GBK" w:cs="Times New Roman"/>
          <w:vanish w:val="0"/>
          <w:color w:val="3D3D3D"/>
          <w:kern w:val="0"/>
          <w:sz w:val="13"/>
          <w:szCs w:val="13"/>
        </w:rPr>
        <w:t>因不可抗力及意外事件风险导致的任何损失，</w:t>
      </w:r>
      <w:r>
        <w:rPr>
          <w:rFonts w:hint="eastAsia" w:ascii="方正黑体_GBK" w:hAnsi="方正黑体_GBK" w:eastAsia="方正黑体_GBK"/>
          <w:vanish w:val="0"/>
          <w:color w:val="3D3D3D"/>
          <w:kern w:val="0"/>
          <w:sz w:val="13"/>
          <w:szCs w:val="13"/>
        </w:rPr>
        <w:t>由投资者</w:t>
      </w:r>
      <w:r>
        <w:rPr>
          <w:rFonts w:hint="eastAsia" w:ascii="方正黑体_GBK" w:hAnsi="方正黑体_GBK" w:eastAsia="方正黑体_GBK" w:cs="Times New Roman"/>
          <w:vanish w:val="0"/>
          <w:color w:val="3D3D3D"/>
          <w:kern w:val="0"/>
          <w:sz w:val="13"/>
          <w:szCs w:val="13"/>
        </w:rPr>
        <w:t>自行</w:t>
      </w:r>
      <w:r>
        <w:rPr>
          <w:rFonts w:hint="eastAsia" w:ascii="方正黑体_GBK" w:hAnsi="方正黑体_GBK" w:eastAsia="方正黑体_GBK"/>
          <w:vanish w:val="0"/>
          <w:color w:val="3D3D3D"/>
          <w:kern w:val="0"/>
          <w:sz w:val="13"/>
          <w:szCs w:val="13"/>
        </w:rPr>
        <w:t>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（十三）税收风险：南银理财暂不负责代扣代缴投资者购买本理财产品所得收益应缴纳的各项税款。若相关税</w:t>
      </w:r>
      <w:r>
        <w:rPr>
          <w:rFonts w:hint="eastAsia" w:ascii="方正黑体_GBK" w:hAnsi="方正黑体_GBK" w:eastAsia="方正黑体_GBK" w:cs="Times New Roman"/>
          <w:vanish w:val="0"/>
          <w:color w:val="3D3D3D"/>
          <w:kern w:val="0"/>
          <w:sz w:val="13"/>
          <w:szCs w:val="13"/>
        </w:rPr>
        <w:t>收</w:t>
      </w:r>
      <w:r>
        <w:rPr>
          <w:rFonts w:hint="eastAsia" w:ascii="方正黑体_GBK" w:hAnsi="方正黑体_GBK" w:eastAsia="方正黑体_GBK"/>
          <w:vanish w:val="0"/>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（十五）操作风险：若管理人、</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、托管机构由于内部作业、人员管理及系统操作不当或失误，处理事务不当等，可能导致本理财产品的本金及收益遭受损失。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（十六）代销风险：本理财产品通过代销机构销售</w:t>
      </w:r>
      <w:r>
        <w:rPr>
          <w:rFonts w:hint="eastAsia" w:ascii="方正黑体_GBK" w:hAnsi="方正黑体_GBK" w:eastAsia="方正黑体_GBK" w:cs="Times New Roman"/>
          <w:vanish w:val="0"/>
          <w:color w:val="3D3D3D"/>
          <w:kern w:val="0"/>
          <w:sz w:val="13"/>
          <w:szCs w:val="13"/>
        </w:rPr>
        <w:t>时</w:t>
      </w:r>
      <w:r>
        <w:rPr>
          <w:rFonts w:hint="eastAsia" w:ascii="方正黑体_GBK" w:hAnsi="方正黑体_GBK" w:eastAsia="方正黑体_GBK"/>
          <w:vanish w:val="0"/>
          <w:color w:val="3D3D3D"/>
          <w:kern w:val="0"/>
          <w:sz w:val="13"/>
          <w:szCs w:val="13"/>
        </w:rPr>
        <w:t>，认购</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申购时投资者购买理财产品的资金由代销机构从投资者账户扣收并划付管理人，赎回时理财本金和理财收益相应款项由管理人按理财</w:t>
      </w:r>
      <w:r>
        <w:rPr>
          <w:rFonts w:hint="eastAsia" w:ascii="方正黑体_GBK" w:hAnsi="方正黑体_GBK" w:eastAsia="方正黑体_GBK" w:cs="Times New Roman"/>
          <w:vanish w:val="0"/>
          <w:color w:val="3D3D3D"/>
          <w:kern w:val="0"/>
          <w:sz w:val="13"/>
          <w:szCs w:val="13"/>
        </w:rPr>
        <w:t>产品销售文件</w:t>
      </w:r>
      <w:r>
        <w:rPr>
          <w:rFonts w:hint="eastAsia" w:ascii="方正黑体_GBK" w:hAnsi="方正黑体_GBK" w:eastAsia="方正黑体_GBK"/>
          <w:vanish w:val="0"/>
          <w:color w:val="3D3D3D"/>
          <w:kern w:val="0"/>
          <w:sz w:val="13"/>
          <w:szCs w:val="13"/>
        </w:rPr>
        <w:t>约定划付至代销机构，并由代销机构向投资者支付。</w:t>
      </w:r>
      <w:r>
        <w:rPr>
          <w:rFonts w:hint="eastAsia" w:ascii="方正黑体_GBK" w:hAnsi="方正黑体_GBK" w:eastAsia="方正黑体_GBK" w:cs="Times New Roman"/>
          <w:vanish w:val="0"/>
          <w:color w:val="3D3D3D"/>
          <w:kern w:val="0"/>
          <w:sz w:val="13"/>
          <w:szCs w:val="13"/>
        </w:rPr>
        <w:t>如果投资者在代销机构的资金账户余额不足，或代销机构未及时将投资者认购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申购资金划转至南银理财，将导致投资者无法完成认购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ascii="方正黑体_GBK" w:hAnsi="方正黑体_GBK" w:eastAsia="方正黑体_GBK"/>
          <w:vanish w:val="0"/>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（十七）未知价风险：净值型产品采用</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金额申购、份额赎回</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原则，即产品认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申购以金额申请，赎回以份额申请，认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申购与赎回价格以</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受理申请。</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，即理财产品申购申请和赎回申请提交时，适用的产品单位净值都是未知的，单位净值固定的产品除外。</w:t>
      </w:r>
    </w:p>
    <w:p>
      <w:pPr>
        <w:keepNext w:val="0"/>
        <w:keepLines w:val="0"/>
        <w:pageBreakBefore w:val="0"/>
        <w:widowControl/>
        <w:suppressLineNumbers w:val="0"/>
        <w:suppressAutoHyphens w:val="0"/>
        <w:spacing w:line="200" w:lineRule="exact"/>
        <w:ind w:firstLine="260"/>
        <w:rPr>
          <w:rFonts w:hint="eastAsia" w:ascii="方正黑体_GBK" w:hAnsi="方正黑体_GBK" w:eastAsia="方正黑体_GBK"/>
          <w:sz w:val="20"/>
          <w:szCs w:val="20"/>
        </w:rPr>
      </w:pPr>
      <w:r>
        <w:rPr>
          <w:rFonts w:hint="eastAsia" w:ascii="方正黑体_GBK" w:hAnsi="方正黑体_GBK" w:eastAsia="方正黑体_GBK"/>
          <w:vanish w:val="0"/>
          <w:color w:val="3D3D3D"/>
          <w:kern w:val="0"/>
          <w:sz w:val="13"/>
          <w:szCs w:val="13"/>
        </w:rPr>
        <w:t>（十八）关联交易风险：在合法合规且履行应履行的内</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外部程序后，理财产品可能</w:t>
      </w:r>
      <w:r>
        <w:rPr>
          <w:rFonts w:hint="eastAsia" w:ascii="方正黑体_GBK" w:hAnsi="方正黑体_GBK" w:eastAsia="方正黑体_GBK" w:cs="Times New Roman"/>
          <w:vanish w:val="0"/>
          <w:color w:val="3D3D3D"/>
          <w:kern w:val="0"/>
          <w:sz w:val="13"/>
          <w:szCs w:val="13"/>
        </w:rPr>
        <w:t>投资于</w:t>
      </w:r>
      <w:r>
        <w:rPr>
          <w:rFonts w:hint="eastAsia" w:ascii="方正黑体_GBK" w:hAnsi="方正黑体_GBK" w:eastAsia="方正黑体_GBK"/>
          <w:vanish w:val="0"/>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本理财产品</w:t>
      </w:r>
      <w:r>
        <w:rPr>
          <w:rFonts w:hint="eastAsia" w:ascii="方正黑体_GBK" w:hAnsi="方正黑体_GBK" w:eastAsia="方正黑体_GBK" w:cs="Times New Roman"/>
          <w:vanish w:val="0"/>
          <w:color w:val="3D3D3D"/>
          <w:kern w:val="0"/>
          <w:sz w:val="13"/>
          <w:szCs w:val="13"/>
        </w:rPr>
        <w:t>也</w:t>
      </w:r>
      <w:r>
        <w:rPr>
          <w:rFonts w:hint="eastAsia" w:ascii="方正黑体_GBK" w:hAnsi="方正黑体_GBK" w:eastAsia="方正黑体_GBK"/>
          <w:vanish w:val="0"/>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pStyle w:val="40"/>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sz w:val="13"/>
          <w:szCs w:val="13"/>
        </w:rPr>
        <w:t xml:space="preserve"> </w:t>
      </w:r>
      <w:r>
        <w:rPr>
          <w:rFonts w:hint="eastAsia" w:ascii="方正黑体_GBK" w:hAnsi="方正黑体_GBK" w:eastAsia="方正黑体_GBK"/>
          <w:vanish w:val="0"/>
          <w:color w:val="3D3D3D"/>
          <w:kern w:val="0"/>
          <w:sz w:val="13"/>
          <w:szCs w:val="13"/>
        </w:rPr>
        <w:t>第二条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本理财产品特定风险揭示</w:t>
      </w:r>
    </w:p>
    <w:p>
      <w:pPr>
        <w:spacing w:line="200" w:lineRule="exact"/>
      </w:pPr>
      <w:r>
        <w:rPr>
          <w:rFonts w:ascii="方正黑体_GBK" w:hAnsi="方正黑体_GBK" w:eastAsia="方正黑体_GBK" w:cs="宋体"/>
          <w:b/>
          <w:sz w:val="13"/>
          <w:szCs w:val="20"/>
        </w:rPr>
        <w:t xml:space="preserve">    1.债券类资产投资风险</w:t>
      </w:r>
    </w:p>
    <w:p>
      <w:pPr>
        <w:spacing w:line="200" w:lineRule="exact"/>
      </w:pPr>
      <w:r>
        <w:rPr>
          <w:rFonts w:ascii="方正黑体_GBK" w:hAnsi="方正黑体_GBK" w:eastAsia="方正黑体_GBK"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pPr>
        <w:spacing w:line="200" w:lineRule="exact"/>
      </w:pPr>
      <w:r>
        <w:rPr>
          <w:rFonts w:ascii="方正黑体_GBK" w:hAnsi="方正黑体_GBK" w:eastAsia="方正黑体_GBK" w:cs="宋体"/>
          <w:b/>
          <w:sz w:val="13"/>
          <w:szCs w:val="20"/>
        </w:rPr>
        <w:t xml:space="preserve">    2.非标准化债权类资产投资风险</w:t>
      </w:r>
    </w:p>
    <w:p>
      <w:pPr>
        <w:spacing w:line="200" w:lineRule="exact"/>
      </w:pPr>
      <w:r>
        <w:rPr>
          <w:rFonts w:ascii="方正黑体_GBK" w:hAnsi="方正黑体_GBK" w:eastAsia="方正黑体_GBK"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spacing w:line="200" w:lineRule="exact"/>
      </w:pPr>
      <w:r>
        <w:rPr>
          <w:rFonts w:ascii="方正黑体_GBK" w:hAnsi="方正黑体_GBK" w:eastAsia="方正黑体_GBK" w:cs="宋体"/>
          <w:b/>
          <w:sz w:val="13"/>
          <w:szCs w:val="20"/>
        </w:rPr>
        <w:t xml:space="preserve">    3.资产管理产品投资风险</w:t>
      </w:r>
    </w:p>
    <w:p>
      <w:pPr>
        <w:spacing w:line="200" w:lineRule="exact"/>
      </w:pPr>
      <w:r>
        <w:rPr>
          <w:rFonts w:ascii="方正黑体_GBK" w:hAnsi="方正黑体_GBK" w:eastAsia="方正黑体_GBK"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pPr>
        <w:spacing w:line="200" w:lineRule="exact"/>
      </w:pPr>
      <w:r>
        <w:rPr>
          <w:rFonts w:ascii="方正黑体_GBK" w:hAnsi="方正黑体_GBK" w:eastAsia="方正黑体_GBK" w:cs="宋体"/>
          <w:b/>
          <w:sz w:val="13"/>
          <w:szCs w:val="20"/>
        </w:rPr>
        <w:t xml:space="preserve">    4.非标准化债权类资产无法投资的风险</w:t>
      </w:r>
    </w:p>
    <w:p>
      <w:pPr>
        <w:spacing w:line="200" w:lineRule="exact"/>
      </w:pPr>
      <w:r>
        <w:rPr>
          <w:rFonts w:ascii="方正黑体_GBK" w:hAnsi="方正黑体_GBK" w:eastAsia="方正黑体_GBK" w:cs="宋体"/>
          <w:b/>
          <w:sz w:val="13"/>
          <w:szCs w:val="20"/>
        </w:rPr>
        <w:t xml:space="preserve">    若受到市场影响出现融资人临时变更融资要素（如取消该笔资产发行或改变资产的发行时间、资产收益等要素）导致本理财产品无法投资对应资产时，为最大程度保障投资者权益，管理人有权采取如下措施：</w:t>
      </w:r>
      <w:r>
        <w:rPr>
          <w:rFonts w:ascii="方正黑体_GBK" w:hAnsi="方正黑体_GBK" w:eastAsia="方正黑体_GBK"/>
        </w:rPr>
        <w:br w:type="textWrapping"/>
      </w:r>
      <w:r>
        <w:rPr>
          <w:rFonts w:ascii="方正黑体_GBK" w:hAnsi="方正黑体_GBK" w:eastAsia="方正黑体_GBK"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ascii="方正黑体_GBK" w:hAnsi="方正黑体_GBK" w:eastAsia="方正黑体_GBK"/>
        </w:rPr>
        <w:br w:type="textWrapping"/>
      </w:r>
      <w:r>
        <w:rPr>
          <w:rFonts w:ascii="方正黑体_GBK" w:hAnsi="方正黑体_GBK" w:eastAsia="方正黑体_GBK" w:cs="宋体"/>
          <w:b/>
          <w:sz w:val="13"/>
          <w:szCs w:val="20"/>
        </w:rPr>
        <w:t xml:space="preserve">    （2）若本理财产品已成立，则管理人有权提前终止本理财产品，自产品成立至提前终止日期间不计任何收益。</w:t>
      </w:r>
    </w:p>
    <w:p>
      <w:pPr>
        <w:pStyle w:val="40"/>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本理财产品</w:t>
      </w:r>
      <w:r>
        <w:rPr>
          <w:rFonts w:hint="eastAsia" w:ascii="方正黑体_GBK" w:hAnsi="方正黑体_GBK" w:eastAsia="方正黑体_GBK"/>
          <w:b/>
          <w:bCs/>
          <w:color w:val="3D3D3D"/>
          <w:kern w:val="0"/>
          <w:sz w:val="13"/>
          <w:szCs w:val="13"/>
        </w:rPr>
        <w:t>类型：封闭式、固定收益类、公募、净值型。</w:t>
      </w:r>
    </w:p>
    <w:p>
      <w:pPr>
        <w:pStyle w:val="40"/>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本理财产品期限</w:t>
      </w:r>
      <w:r>
        <w:rPr>
          <w:rFonts w:hint="eastAsia" w:ascii="方正黑体_GBK" w:hAnsi="方正黑体_GBK" w:eastAsia="方正黑体_GBK"/>
          <w:b/>
          <w:bCs w:val="0"/>
          <w:vanish w:val="0"/>
          <w:color w:val="3D3D3D"/>
          <w:kern w:val="0"/>
          <w:sz w:val="13"/>
          <w:szCs w:val="13"/>
        </w:rPr>
        <w:t>为</w:t>
      </w:r>
      <w:r>
        <w:rPr>
          <w:rFonts w:hint="eastAsia" w:ascii="方正黑体_GBK" w:hAnsi="方正黑体_GBK" w:eastAsia="方正黑体_GBK"/>
          <w:b/>
          <w:bCs/>
          <w:color w:val="3D3D3D"/>
          <w:kern w:val="0"/>
          <w:sz w:val="13"/>
          <w:szCs w:val="13"/>
        </w:rPr>
        <w:t>105天</w:t>
      </w:r>
      <w:r>
        <w:rPr>
          <w:rFonts w:hint="eastAsia" w:ascii="方正黑体_GBK" w:hAnsi="方正黑体_GBK" w:eastAsia="方正黑体_GBK"/>
          <w:b/>
          <w:bCs w:val="0"/>
          <w:vanish w:val="0"/>
          <w:color w:val="3D3D3D"/>
          <w:kern w:val="0"/>
          <w:sz w:val="13"/>
          <w:szCs w:val="13"/>
        </w:rPr>
        <w:t>。</w:t>
      </w:r>
    </w:p>
    <w:p>
      <w:pPr>
        <w:pStyle w:val="34"/>
        <w:pBdr>
          <w:top w:val="none" w:color="auto" w:sz="0" w:space="0"/>
          <w:left w:val="none" w:color="auto" w:sz="0" w:space="0"/>
          <w:bottom w:val="none" w:color="auto" w:sz="0" w:space="0"/>
          <w:right w:val="none" w:color="auto" w:sz="0" w:space="0"/>
        </w:pBdr>
        <w:spacing w:before="0" w:beforeAutospacing="0" w:after="0" w:afterAutospacing="0" w:line="200" w:lineRule="exact"/>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本理财产品风险</w:t>
      </w:r>
      <w:r>
        <w:rPr>
          <w:rFonts w:hint="eastAsia" w:ascii="方正黑体_GBK" w:hAnsi="方正黑体_GBK" w:eastAsia="方正黑体_GBK" w:cs="Times New Roman"/>
          <w:b/>
          <w:bCs/>
          <w:vanish w:val="0"/>
          <w:color w:val="3D3D3D"/>
          <w:kern w:val="0"/>
          <w:sz w:val="13"/>
          <w:szCs w:val="13"/>
        </w:rPr>
        <w:t>评级结果</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vanish w:val="0"/>
          <w:color w:val="3D3D3D"/>
          <w:kern w:val="0"/>
          <w:sz w:val="13"/>
          <w:szCs w:val="13"/>
        </w:rPr>
        <w:t>根据管理人内部风险评级，该产品风险等级为</w:t>
      </w:r>
      <w:r>
        <w:rPr>
          <w:rFonts w:hint="eastAsia" w:ascii="方正黑体_GBK" w:hAnsi="方正黑体_GBK" w:eastAsia="方正黑体_GBK" w:cs="Times New Roman"/>
          <w:b/>
          <w:bCs w:val="0"/>
          <w:vanish w:val="0"/>
          <w:color w:val="3D3D3D"/>
          <w:kern w:val="0"/>
          <w:sz w:val="13"/>
          <w:szCs w:val="13"/>
        </w:rPr>
        <w:t>中低风险</w:t>
      </w:r>
      <w:r>
        <w:rPr>
          <w:rFonts w:hint="eastAsia" w:ascii="方正黑体_GBK" w:hAnsi="方正黑体_GBK" w:eastAsia="方正黑体_GBK"/>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 xml:space="preserve"> </w:t>
      </w:r>
      <w:r>
        <w:rPr>
          <w:rFonts w:hint="eastAsia" w:ascii="方正黑体_GBK" w:hAnsi="方正黑体_GBK" w:eastAsia="方正黑体_GBK"/>
          <w:color w:val="3D3D3D"/>
          <w:kern w:val="0"/>
          <w:sz w:val="13"/>
          <w:szCs w:val="13"/>
        </w:rPr>
        <w:t>管理人不承诺本金保障，产品收益随投资表现变动，产品存在较低的本金损失风险</w:t>
      </w:r>
      <w:r>
        <w:rPr>
          <w:rFonts w:hint="eastAsia" w:ascii="方正黑体_GBK" w:hAnsi="方正黑体_GBK" w:eastAsia="方正黑体_GBK"/>
          <w:vanish w:val="0"/>
          <w:color w:val="3D3D3D"/>
          <w:kern w:val="0"/>
          <w:sz w:val="13"/>
          <w:szCs w:val="13"/>
        </w:rPr>
        <w:t>。</w:t>
      </w:r>
    </w:p>
    <w:p>
      <w:pPr>
        <w:pStyle w:val="34"/>
        <w:pBdr>
          <w:top w:val="none" w:color="auto" w:sz="0" w:space="0"/>
          <w:left w:val="none" w:color="auto" w:sz="0" w:space="0"/>
          <w:bottom w:val="none" w:color="auto" w:sz="0" w:space="0"/>
          <w:right w:val="none" w:color="auto" w:sz="0" w:space="0"/>
        </w:pBdr>
        <w:spacing w:before="0" w:beforeAutospacing="0" w:after="0" w:afterAutospacing="0" w:line="200" w:lineRule="exact"/>
        <w:ind w:firstLine="261"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本风险等级为南银理财风险评级结果，</w:t>
      </w:r>
      <w:r>
        <w:rPr>
          <w:rFonts w:hint="eastAsia" w:ascii="方正黑体_GBK" w:hAnsi="方正黑体_GBK" w:eastAsia="方正黑体_GBK" w:cs="Times New Roman"/>
          <w:b/>
          <w:bCs/>
          <w:vanish w:val="0"/>
          <w:color w:val="3D3D3D"/>
          <w:kern w:val="0"/>
          <w:sz w:val="13"/>
          <w:szCs w:val="13"/>
        </w:rPr>
        <w:t>该产品通过代理销售机构渠道销售的，理财产品评级应当以代理销售机构最终披露的评级结果为准。</w:t>
      </w:r>
      <w:r>
        <w:rPr>
          <w:rFonts w:hint="eastAsia" w:ascii="方正黑体_GBK" w:hAnsi="方正黑体_GBK" w:eastAsia="方正黑体_GBK" w:cs="Times New Roman"/>
          <w:vanish w:val="0"/>
          <w:color w:val="3D3D3D"/>
          <w:kern w:val="0"/>
          <w:sz w:val="13"/>
          <w:szCs w:val="13"/>
        </w:rPr>
        <w:t>您需充分认识投资风险，谨慎投资。</w:t>
      </w:r>
    </w:p>
    <w:p>
      <w:pPr>
        <w:pStyle w:val="40"/>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1" w:firstLineChars="200"/>
        <w:rPr>
          <w:rFonts w:hint="eastAsia" w:ascii="方正黑体_GBK" w:hAnsi="方正黑体_GBK" w:eastAsia="方正黑体_GBK"/>
          <w:bCs/>
          <w:color w:val="3D3D3D"/>
          <w:kern w:val="0"/>
          <w:sz w:val="13"/>
          <w:szCs w:val="13"/>
        </w:rPr>
      </w:pPr>
      <w:r>
        <w:rPr>
          <w:rFonts w:hint="eastAsia" w:ascii="方正黑体_GBK" w:hAnsi="方正黑体_GBK" w:eastAsia="方正黑体_GBK" w:cs="Times New Roman"/>
          <w:b/>
          <w:bCs/>
          <w:vanish w:val="0"/>
          <w:color w:val="3D3D3D"/>
          <w:kern w:val="0"/>
          <w:sz w:val="13"/>
          <w:szCs w:val="13"/>
        </w:rPr>
        <w:t>适合购买本理财产品的投资者</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color w:val="3D3D3D"/>
          <w:kern w:val="0"/>
          <w:sz w:val="13"/>
          <w:szCs w:val="13"/>
        </w:rPr>
        <w:t>符合相关法律法规、监管规定要求的，经销售机构的风险承受能力评估体系评定为适合的个人和机构投资者。</w:t>
      </w:r>
    </w:p>
    <w:p>
      <w:pPr>
        <w:pStyle w:val="40"/>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个人投资者在首次通过销售机构购买理财产品时应根据销售机构的要求进行风险承受能力评估</w:t>
      </w:r>
      <w:r>
        <w:rPr>
          <w:rFonts w:hint="eastAsia" w:ascii="方正黑体_GBK" w:hAnsi="方正黑体_GBK" w:eastAsia="方正黑体_GBK"/>
          <w:b/>
          <w:bCs/>
          <w:vanish w:val="0"/>
          <w:color w:val="3D3D3D"/>
          <w:kern w:val="0"/>
          <w:sz w:val="13"/>
          <w:szCs w:val="13"/>
        </w:rPr>
        <w:t>。如影响您风险承受能力的因素发生变化，</w:t>
      </w:r>
      <w:r>
        <w:rPr>
          <w:rFonts w:hint="eastAsia" w:ascii="方正黑体_GBK" w:hAnsi="方正黑体_GBK" w:eastAsia="方正黑体_GBK" w:cs="Times New Roman"/>
          <w:b/>
          <w:bCs/>
          <w:vanish w:val="0"/>
          <w:color w:val="3D3D3D"/>
          <w:kern w:val="0"/>
          <w:sz w:val="13"/>
          <w:szCs w:val="13"/>
        </w:rPr>
        <w:t>请及时完成风险承受能力评估</w:t>
      </w:r>
      <w:r>
        <w:rPr>
          <w:rFonts w:hint="eastAsia" w:ascii="方正黑体_GBK" w:hAnsi="方正黑体_GBK" w:eastAsia="方正黑体_GBK"/>
          <w:b/>
          <w:bCs/>
          <w:vanish w:val="0"/>
          <w:color w:val="3D3D3D"/>
          <w:kern w:val="0"/>
          <w:sz w:val="13"/>
          <w:szCs w:val="13"/>
        </w:rPr>
        <w:t>。</w:t>
      </w:r>
    </w:p>
    <w:p>
      <w:pPr>
        <w:pStyle w:val="40"/>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cs="Times New Roman"/>
          <w:vanish w:val="0"/>
          <w:kern w:val="2"/>
          <w:sz w:val="21"/>
          <w:szCs w:val="21"/>
        </w:rPr>
      </w:pPr>
      <w:r>
        <w:rPr>
          <w:rFonts w:hint="eastAsia" w:ascii="方正黑体_GBK" w:hAnsi="方正黑体_GBK" w:eastAsia="方正黑体_GBK" w:cs="Times New Roman"/>
          <w:b/>
          <w:bCs/>
          <w:vanish w:val="0"/>
          <w:color w:val="3D3D3D"/>
          <w:kern w:val="0"/>
          <w:sz w:val="13"/>
          <w:szCs w:val="13"/>
        </w:rPr>
        <w:t>最不利投资情形下的投资结果</w:t>
      </w:r>
      <w:r>
        <w:rPr>
          <w:rFonts w:hint="eastAsia" w:ascii="方正黑体_GBK" w:hAnsi="方正黑体_GBK" w:eastAsia="方正黑体_GBK"/>
          <w:b/>
          <w:bCs/>
          <w:vanish w:val="0"/>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rFonts w:ascii="方正黑体_GBK" w:hAnsi="方正黑体_GBK" w:eastAsia="方正黑体_GBK"/>
          <w:b/>
          <w:bCs/>
          <w:vanish w:val="0"/>
          <w:color w:val="3D3D3D"/>
          <w:kern w:val="0"/>
          <w:sz w:val="13"/>
          <w:szCs w:val="13"/>
        </w:rPr>
        <w:t>0</w:t>
      </w:r>
      <w:r>
        <w:rPr>
          <w:rFonts w:hint="eastAsia" w:ascii="方正黑体_GBK" w:hAnsi="方正黑体_GBK" w:eastAsia="方正黑体_GBK"/>
          <w:b/>
          <w:bCs/>
          <w:vanish w:val="0"/>
          <w:color w:val="3D3D3D"/>
          <w:kern w:val="0"/>
          <w:sz w:val="13"/>
          <w:szCs w:val="13"/>
        </w:rPr>
        <w:t>，即投资者面临全部本金的损失。为保证当期理财投资者权益而产生的费用由当期理财产品承担。</w:t>
      </w:r>
    </w:p>
    <w:p>
      <w:pPr>
        <w:pStyle w:val="40"/>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示例：如投资者购买本理财产品，本金为</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万元，在理财产品资产组合项下资产全部亏损的最不利情况下，理财产品</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万元本金将全部损失。</w:t>
      </w:r>
    </w:p>
    <w:p>
      <w:pPr>
        <w:pStyle w:val="40"/>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Times New Roman"/>
          <w:b/>
          <w:bCs w:val="0"/>
          <w:vanish w:val="0"/>
          <w:color w:val="3D3D3D"/>
          <w:kern w:val="0"/>
          <w:sz w:val="13"/>
          <w:szCs w:val="13"/>
        </w:rPr>
      </w:pPr>
    </w:p>
    <w:p>
      <w:pPr>
        <w:pStyle w:val="40"/>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上述风险客观存在，敬请投资者予以充分关注！</w:t>
      </w:r>
    </w:p>
    <w:p>
      <w:pPr>
        <w:pStyle w:val="40"/>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p>
    <w:p>
      <w:pPr>
        <w:pStyle w:val="40"/>
        <w:keepNext w:val="0"/>
        <w:keepLines w:val="0"/>
        <w:pageBreakBefore w:val="0"/>
        <w:widowControl/>
        <w:suppressLineNumbers w:val="0"/>
        <w:suppressAutoHyphens w:val="0"/>
        <w:spacing w:line="200" w:lineRule="exact"/>
        <w:ind w:firstLine="260"/>
        <w:jc w:val="left"/>
        <w:rPr>
          <w:rFonts w:hint="eastAsia" w:ascii="方正黑体_GBK" w:hAnsi="方正黑体_GBK" w:eastAsia="方正黑体_GBK"/>
          <w:b/>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ascii="方正黑体_GBK" w:hAnsi="方正黑体_GBK" w:eastAsia="方正黑体_GBK"/>
          <w:b/>
          <w:bCs w:val="0"/>
          <w:vanish w:val="0"/>
          <w:color w:val="3D3D3D"/>
          <w:kern w:val="0"/>
          <w:sz w:val="15"/>
          <w:szCs w:val="15"/>
          <w:u w:val="single"/>
        </w:rPr>
        <w:t>本风险揭示书</w:t>
      </w:r>
      <w:r>
        <w:rPr>
          <w:rFonts w:hint="eastAsia" w:ascii="方正黑体_GBK" w:hAnsi="方正黑体_GBK" w:eastAsia="方正黑体_GBK" w:cs="Times New Roman"/>
          <w:b/>
          <w:bCs w:val="0"/>
          <w:vanish w:val="0"/>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投资者声明：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1.</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购买本理财产品为本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真实的意思表示</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并认为该理财产品完全适合本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的投资目标、投资预期以及风险承受能力，本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自愿承担由此带来的一切后果。本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确认南银理财</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销售机构相关业务人员对于理财产品销售文件中限制或排除本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权利、增加或加重本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已完全理解并自愿接受。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2.</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确认，将向本理财产品销售机构真实提供信息，自主作出认购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申购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赎回等决定，自主承担投资风险。本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拒绝向销售机构提供或者未按照要求提供信息的，销售机构有权告知本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相应的后果和责任，并有权拒绝向本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提供销售服务。</w:t>
      </w:r>
    </w:p>
    <w:p>
      <w:pPr>
        <w:keepNext w:val="0"/>
        <w:keepLines w:val="0"/>
        <w:pageBreakBefore w:val="0"/>
        <w:widowControl/>
        <w:suppressLineNumbers w:val="0"/>
        <w:suppressAutoHyphens w:val="0"/>
        <w:spacing w:line="200" w:lineRule="exact"/>
        <w:ind w:firstLine="420"/>
        <w:rPr>
          <w:rFonts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3.</w:t>
      </w:r>
      <w:r>
        <w:rPr>
          <w:rFonts w:hint="eastAsia" w:ascii="方正黑体_GBK" w:hAnsi="方正黑体_GBK" w:eastAsia="方正黑体_GBK" w:cs="Times New Roman"/>
          <w:b/>
          <w:bCs w:val="0"/>
          <w:vanish w:val="0"/>
          <w:color w:val="3D3D3D"/>
          <w:kern w:val="0"/>
          <w:sz w:val="15"/>
          <w:szCs w:val="15"/>
          <w:u w:val="single"/>
        </w:rPr>
        <w:t>本投资者确认，投资本理财产品的资金非贷款、发行债券等募集的非自有资金。</w:t>
      </w:r>
    </w:p>
    <w:p>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4.</w:t>
      </w:r>
      <w:r>
        <w:rPr>
          <w:rFonts w:hint="eastAsia" w:ascii="方正黑体_GBK" w:hAnsi="方正黑体_GBK" w:eastAsia="方正黑体_GBK" w:cs="Times New Roman"/>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w:t>
      </w:r>
      <w:r>
        <w:rPr>
          <w:rFonts w:hint="eastAsia" w:ascii="方正黑体_GBK" w:hAnsi="方正黑体_GBK" w:eastAsia="方正黑体_GBK"/>
          <w:b/>
          <w:bCs w:val="0"/>
          <w:vanish w:val="0"/>
          <w:color w:val="3D3D3D"/>
          <w:kern w:val="0"/>
          <w:sz w:val="15"/>
          <w:szCs w:val="15"/>
          <w:u w:val="single"/>
        </w:rPr>
        <w:t>（仅由个人投资者亲自填写）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rPr>
        <w:t>5.</w:t>
      </w:r>
      <w:r>
        <w:rPr>
          <w:rFonts w:hint="eastAsia" w:ascii="方正黑体_GBK" w:hAnsi="方正黑体_GBK" w:eastAsia="方正黑体_GBK"/>
          <w:b/>
          <w:bCs w:val="0"/>
          <w:vanish w:val="0"/>
          <w:color w:val="3D3D3D"/>
          <w:kern w:val="0"/>
          <w:sz w:val="15"/>
          <w:szCs w:val="15"/>
          <w:u w:val="single"/>
        </w:rPr>
        <w:t>本投资者已认真阅读并充分理解本风险揭示书</w:t>
      </w:r>
      <w:r>
        <w:rPr>
          <w:rFonts w:hint="eastAsia" w:ascii="方正黑体_GBK" w:hAnsi="方正黑体_GBK" w:eastAsia="方正黑体_GBK" w:cs="Times New Roman"/>
          <w:b/>
          <w:bCs w:val="0"/>
          <w:vanish w:val="0"/>
          <w:color w:val="3D3D3D"/>
          <w:kern w:val="0"/>
          <w:sz w:val="15"/>
          <w:szCs w:val="15"/>
          <w:u w:val="single"/>
        </w:rPr>
        <w:t>及对应期次</w:t>
      </w:r>
      <w:r>
        <w:rPr>
          <w:rFonts w:hint="eastAsia" w:ascii="方正黑体_GBK" w:hAnsi="方正黑体_GBK" w:eastAsia="方正黑体_GBK"/>
          <w:b/>
          <w:bCs w:val="0"/>
          <w:vanish w:val="0"/>
          <w:color w:val="3D3D3D"/>
          <w:kern w:val="0"/>
          <w:sz w:val="15"/>
          <w:szCs w:val="15"/>
          <w:u w:val="single"/>
        </w:rPr>
        <w:t>《理财产品销售协议书》《理财产品说明书》《投资者权益须知》</w:t>
      </w:r>
      <w:r>
        <w:rPr>
          <w:rFonts w:hint="eastAsia" w:ascii="方正黑体_GBK" w:hAnsi="方正黑体_GBK" w:eastAsia="方正黑体_GBK" w:cs="Times New Roman"/>
          <w:b/>
          <w:bCs w:val="0"/>
          <w:vanish w:val="0"/>
          <w:color w:val="3D3D3D"/>
          <w:kern w:val="0"/>
          <w:sz w:val="15"/>
          <w:szCs w:val="15"/>
          <w:u w:val="single"/>
        </w:rPr>
        <w:t>《理财产品投资协议书》等理财产品销售文件</w:t>
      </w:r>
      <w:r>
        <w:rPr>
          <w:rFonts w:hint="eastAsia" w:ascii="方正黑体_GBK" w:hAnsi="方正黑体_GBK" w:eastAsia="方正黑体_GBK"/>
          <w:b/>
          <w:bCs w:val="0"/>
          <w:vanish w:val="0"/>
          <w:color w:val="3D3D3D"/>
          <w:kern w:val="0"/>
          <w:sz w:val="15"/>
          <w:szCs w:val="15"/>
          <w:u w:val="single"/>
        </w:rPr>
        <w:t>的全部条款与内容，</w:t>
      </w:r>
      <w:r>
        <w:rPr>
          <w:rFonts w:hint="eastAsia" w:ascii="方正黑体_GBK" w:hAnsi="方正黑体_GBK" w:eastAsia="方正黑体_GBK" w:cs="Times New Roman"/>
          <w:b/>
          <w:bCs w:val="0"/>
          <w:vanish w:val="0"/>
          <w:color w:val="3D3D3D"/>
          <w:kern w:val="0"/>
          <w:sz w:val="15"/>
          <w:szCs w:val="15"/>
          <w:u w:val="single"/>
        </w:rPr>
        <w:t>完全清楚理财产品购买流程、风险评估、产品评级含义、信息披露方式及渠道、南银理财及销售机构联系方式及投诉程序等内容，</w:t>
      </w:r>
      <w:r>
        <w:rPr>
          <w:rFonts w:hint="eastAsia" w:ascii="方正黑体_GBK" w:hAnsi="方正黑体_GBK" w:eastAsia="方正黑体_GBK"/>
          <w:b/>
          <w:bCs w:val="0"/>
          <w:vanish w:val="0"/>
          <w:color w:val="3D3D3D"/>
          <w:kern w:val="0"/>
          <w:sz w:val="15"/>
          <w:szCs w:val="15"/>
          <w:u w:val="single"/>
        </w:rPr>
        <w:t>充分了解履行上述文件的责任，具有识别及承担相关风险的能力，充分了解本理财产品的风险并愿意承担相关风险。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6.</w:t>
      </w:r>
      <w:r>
        <w:rPr>
          <w:rFonts w:hint="eastAsia" w:ascii="方正黑体_GBK" w:hAnsi="方正黑体_GBK" w:eastAsia="方正黑体_GBK" w:cs="Times New Roman"/>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pPr>
        <w:keepNext w:val="0"/>
        <w:keepLines w:val="0"/>
        <w:pageBreakBefore w:val="0"/>
        <w:widowControl/>
        <w:suppressLineNumbers w:val="0"/>
        <w:suppressAutoHyphens w:val="0"/>
        <w:spacing w:line="200" w:lineRule="exact"/>
        <w:ind w:firstLine="420"/>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7.</w:t>
      </w:r>
      <w:r>
        <w:rPr>
          <w:rFonts w:hint="eastAsia" w:ascii="方正黑体_GBK" w:hAnsi="方正黑体_GBK" w:eastAsia="方正黑体_GBK" w:cs="Times New Roman"/>
          <w:b/>
          <w:bCs w:val="0"/>
          <w:vanish w:val="0"/>
          <w:color w:val="3D3D3D"/>
          <w:kern w:val="0"/>
          <w:sz w:val="15"/>
          <w:szCs w:val="15"/>
          <w:u w:val="single"/>
        </w:rPr>
        <w:t>如销售机构为管理人关联方的，本</w:t>
      </w:r>
      <w:r>
        <w:rPr>
          <w:rFonts w:hint="eastAsia" w:ascii="方正黑体_GBK" w:hAnsi="方正黑体_GBK" w:eastAsia="方正黑体_GBK"/>
          <w:b/>
          <w:bCs w:val="0"/>
          <w:vanish w:val="0"/>
          <w:color w:val="3D3D3D"/>
          <w:kern w:val="0"/>
          <w:sz w:val="15"/>
          <w:szCs w:val="15"/>
          <w:u w:val="single"/>
        </w:rPr>
        <w:t>投资者认可此等关联方及关联交易情形的存在并自愿承担相关投资风险。</w:t>
      </w:r>
    </w:p>
    <w:p>
      <w:pPr>
        <w:keepNext w:val="0"/>
        <w:keepLines w:val="0"/>
        <w:pageBreakBefore w:val="0"/>
        <w:widowControl/>
        <w:suppressLineNumbers w:val="0"/>
        <w:suppressAutoHyphens w:val="0"/>
        <w:spacing w:line="200" w:lineRule="exact"/>
        <w:ind w:firstLine="420"/>
        <w:rPr>
          <w:rFonts w:ascii="方正黑体_GBK" w:hAnsi="方正黑体_GBK" w:eastAsia="方正黑体_GBK"/>
          <w:vanish w:val="0"/>
          <w:color w:val="3D3D3D"/>
          <w:kern w:val="0"/>
          <w:sz w:val="15"/>
          <w:szCs w:val="15"/>
          <w:u w:val="single"/>
        </w:rPr>
      </w:pPr>
      <w:r>
        <w:rPr>
          <w:rFonts w:hint="eastAsia" w:ascii="方正黑体_GBK" w:hAnsi="方正黑体_GBK" w:eastAsia="方正黑体_GBK"/>
          <w:vanish w:val="0"/>
          <w:color w:val="3D3D3D"/>
          <w:kern w:val="0"/>
          <w:sz w:val="15"/>
          <w:szCs w:val="15"/>
        </w:rPr>
        <w:t>8.以下划线部分，请投资者抄录确认：</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b/>
          <w:bCs w:val="0"/>
          <w:vanish w:val="0"/>
          <w:color w:val="3D3D3D"/>
          <w:kern w:val="0"/>
          <w:sz w:val="15"/>
          <w:szCs w:val="15"/>
          <w:u w:val="single"/>
        </w:rPr>
        <w:t>本人已经阅读风险揭示，愿意承担投资风险</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vanish w:val="0"/>
          <w:color w:val="3D3D3D"/>
          <w:kern w:val="0"/>
          <w:sz w:val="15"/>
          <w:szCs w:val="15"/>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投资者抄录：</w:t>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tbl>
      <w:tblPr>
        <w:tblStyle w:val="14"/>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b/>
                <w:bCs w:val="0"/>
                <w:vanish w:val="0"/>
                <w:kern w:val="2"/>
                <w:sz w:val="15"/>
                <w:szCs w:val="15"/>
              </w:rPr>
            </w:pPr>
            <w:r>
              <w:rPr>
                <w:rFonts w:hint="eastAsia" w:ascii="方正黑体_GBK" w:hAnsi="方正黑体_GBK" w:eastAsia="方正黑体_GBK"/>
                <w:b/>
                <w:bCs w:val="0"/>
                <w:vanish w:val="0"/>
                <w:kern w:val="2"/>
                <w:sz w:val="15"/>
                <w:szCs w:val="15"/>
              </w:rPr>
              <w:t>个人投资者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suppressAutoHyphens w:val="0"/>
              <w:spacing w:after="0" w:afterAutospacing="0" w:line="360" w:lineRule="auto"/>
              <w:ind w:left="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auto"/>
                <w:kern w:val="2"/>
                <w:sz w:val="15"/>
                <w:szCs w:val="15"/>
              </w:rPr>
              <w:t>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ascii="方正黑体_GBK" w:hAnsi="方正黑体_GBK" w:eastAsia="方正黑体_GBK"/>
                <w:vanish w:val="0"/>
                <w:color w:val="auto"/>
                <w:kern w:val="2"/>
                <w:sz w:val="15"/>
                <w:szCs w:val="15"/>
              </w:rPr>
            </w:pP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3D3D3D"/>
                <w:kern w:val="0"/>
                <w:sz w:val="15"/>
                <w:szCs w:val="15"/>
              </w:rPr>
              <w:t>机构投资者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盖章（公章）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法定代表人或授权代理人（</w:t>
            </w:r>
            <w:r>
              <w:rPr>
                <w:rFonts w:hint="eastAsia" w:ascii="方正黑体_GBK" w:hAnsi="方正黑体_GBK" w:eastAsia="方正黑体_GBK" w:cs="Times New Roman"/>
                <w:b/>
                <w:bCs/>
                <w:vanish w:val="0"/>
                <w:color w:val="3D3D3D"/>
                <w:kern w:val="0"/>
                <w:sz w:val="15"/>
                <w:szCs w:val="15"/>
              </w:rPr>
              <w:t>签名</w:t>
            </w:r>
            <w:r>
              <w:rPr>
                <w:rFonts w:hint="eastAsia" w:ascii="方正黑体_GBK" w:hAnsi="方正黑体_GBK" w:eastAsia="方正黑体_GBK"/>
                <w:b/>
                <w:bCs/>
                <w:vanish w:val="0"/>
                <w:color w:val="3D3D3D"/>
                <w:kern w:val="0"/>
                <w:sz w:val="15"/>
                <w:szCs w:val="15"/>
              </w:rPr>
              <w:t>或盖章）：</w:t>
            </w:r>
            <w:r>
              <w:rPr>
                <w:rFonts w:ascii="方正黑体_GBK" w:hAnsi="方正黑体_GBK" w:eastAsia="方正黑体_GBK"/>
                <w:b/>
                <w:bCs/>
                <w:vanish w:val="0"/>
                <w:color w:val="3D3D3D"/>
                <w:kern w:val="0"/>
                <w:sz w:val="15"/>
                <w:szCs w:val="15"/>
              </w:rPr>
              <w:t xml:space="preserve"> </w:t>
            </w:r>
            <w:r>
              <w:rPr>
                <w:rFonts w:ascii="方正黑体_GBK" w:hAnsi="方正黑体_GBK" w:eastAsia="方正黑体_GBK"/>
                <w:b/>
                <w:bCs/>
                <w:vanish w:val="0"/>
                <w:color w:val="3D3D3D"/>
                <w:kern w:val="0"/>
                <w:sz w:val="15"/>
                <w:szCs w:val="15"/>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auto"/>
                <w:kern w:val="2"/>
                <w:sz w:val="15"/>
                <w:szCs w:val="15"/>
              </w:rPr>
            </w:pP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auto"/>
                <w:kern w:val="2"/>
                <w:sz w:val="15"/>
                <w:szCs w:val="15"/>
              </w:rPr>
              <w:t>电子</w:t>
            </w:r>
            <w:r>
              <w:rPr>
                <w:rFonts w:hint="eastAsia" w:ascii="方正黑体_GBK" w:hAnsi="方正黑体_GBK" w:eastAsia="方正黑体_GBK" w:cs="Times New Roman"/>
                <w:b/>
                <w:bCs/>
                <w:vanish w:val="0"/>
                <w:color w:val="auto"/>
                <w:kern w:val="2"/>
                <w:sz w:val="15"/>
                <w:szCs w:val="15"/>
              </w:rPr>
              <w:t>渠道</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1" w:firstLineChars="200"/>
              <w:rPr>
                <w:rFonts w:ascii="方正黑体_GBK" w:hAnsi="方正黑体_GBK" w:eastAsia="方正黑体_GBK"/>
                <w:vanish w:val="0"/>
                <w:color w:val="auto"/>
                <w:kern w:val="2"/>
                <w:sz w:val="15"/>
                <w:szCs w:val="15"/>
              </w:rPr>
            </w:pPr>
            <w:r>
              <w:rPr>
                <w:rFonts w:hint="eastAsia" w:ascii="方正黑体_GBK" w:hAnsi="方正黑体_GBK" w:eastAsia="方正黑体_GBK"/>
                <w:b/>
                <w:bCs w:val="0"/>
                <w:vanish w:val="0"/>
                <w:color w:val="3D3D3D"/>
                <w:kern w:val="0"/>
                <w:sz w:val="15"/>
                <w:szCs w:val="15"/>
                <w:u w:val="single"/>
              </w:rPr>
              <w:t>如投资者通过电子</w:t>
            </w:r>
            <w:r>
              <w:rPr>
                <w:rFonts w:hint="eastAsia" w:ascii="方正黑体_GBK" w:hAnsi="方正黑体_GBK" w:eastAsia="方正黑体_GBK" w:cs="Times New Roman"/>
                <w:b/>
                <w:bCs w:val="0"/>
                <w:vanish w:val="0"/>
                <w:color w:val="3D3D3D"/>
                <w:kern w:val="0"/>
                <w:sz w:val="15"/>
                <w:szCs w:val="15"/>
                <w:u w:val="single"/>
              </w:rPr>
              <w:t>渠道</w:t>
            </w:r>
            <w:r>
              <w:rPr>
                <w:rFonts w:hint="eastAsia" w:ascii="方正黑体_GBK" w:hAnsi="方正黑体_GBK" w:eastAsia="方正黑体_GBK"/>
                <w:b/>
                <w:bCs w:val="0"/>
                <w:vanish w:val="0"/>
                <w:color w:val="3D3D3D"/>
                <w:kern w:val="0"/>
                <w:sz w:val="15"/>
                <w:szCs w:val="15"/>
                <w:u w:val="single"/>
              </w:rPr>
              <w:t>（包括但不限于网上银行、手机银行或官方网站等）购买本理财产品的，</w:t>
            </w:r>
            <w:r>
              <w:rPr>
                <w:rFonts w:hint="eastAsia" w:ascii="方正黑体_GBK" w:hAnsi="方正黑体_GBK" w:eastAsia="方正黑体_GBK"/>
                <w:vanish w:val="0"/>
                <w:spacing w:val="10"/>
                <w:kern w:val="2"/>
                <w:sz w:val="15"/>
                <w:szCs w:val="15"/>
              </w:rPr>
              <w:t>本风险揭示书以数据电文形式订立，</w:t>
            </w:r>
            <w:r>
              <w:rPr>
                <w:rFonts w:hint="eastAsia" w:ascii="方正黑体_GBK" w:hAnsi="方正黑体_GBK" w:eastAsia="方正黑体_GBK"/>
                <w:b/>
                <w:bCs w:val="0"/>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ascii="方正黑体_GBK" w:hAnsi="方正黑体_GBK" w:eastAsia="方正黑体_GBK"/>
                <w:b/>
                <w:bCs w:val="0"/>
                <w:vanish w:val="0"/>
                <w:color w:val="3D3D3D"/>
                <w:kern w:val="0"/>
                <w:sz w:val="15"/>
                <w:szCs w:val="15"/>
                <w:u w:val="single"/>
              </w:rPr>
              <w:t>即视为</w:t>
            </w:r>
            <w:r>
              <w:rPr>
                <w:rFonts w:hint="eastAsia" w:ascii="方正黑体_GBK" w:hAnsi="方正黑体_GBK" w:eastAsia="方正黑体_GBK" w:cs="Times New Roman"/>
                <w:b/>
                <w:bCs w:val="0"/>
                <w:vanish w:val="0"/>
                <w:color w:val="3D3D3D"/>
                <w:kern w:val="0"/>
                <w:sz w:val="15"/>
                <w:szCs w:val="15"/>
                <w:u w:val="single"/>
              </w:rPr>
              <w:t>投资者</w:t>
            </w:r>
            <w:r>
              <w:rPr>
                <w:rFonts w:hint="eastAsia" w:ascii="方正黑体_GBK" w:hAnsi="方正黑体_GBK" w:eastAsia="方正黑体_GBK"/>
                <w:b/>
                <w:bCs w:val="0"/>
                <w:vanish w:val="0"/>
                <w:color w:val="3D3D3D"/>
                <w:kern w:val="0"/>
                <w:sz w:val="15"/>
                <w:szCs w:val="15"/>
                <w:u w:val="single"/>
              </w:rPr>
              <w:t>确认其符合本理财产品的风险等级并自愿承担投资风险。</w:t>
            </w:r>
            <w:r>
              <w:rPr>
                <w:rFonts w:hint="eastAsia" w:ascii="方正黑体_GBK" w:hAnsi="方正黑体_GBK" w:eastAsia="方正黑体_GBK"/>
                <w:vanish w:val="0"/>
                <w:spacing w:val="10"/>
                <w:kern w:val="2"/>
                <w:sz w:val="15"/>
                <w:szCs w:val="15"/>
              </w:rPr>
              <w:t>电子</w:t>
            </w:r>
            <w:r>
              <w:rPr>
                <w:rFonts w:hint="eastAsia" w:ascii="方正黑体_GBK" w:hAnsi="方正黑体_GBK" w:eastAsia="方正黑体_GBK" w:cs="Times New Roman"/>
                <w:vanish w:val="0"/>
                <w:spacing w:val="10"/>
                <w:kern w:val="2"/>
                <w:sz w:val="15"/>
                <w:szCs w:val="15"/>
              </w:rPr>
              <w:t>渠道</w:t>
            </w:r>
            <w:r>
              <w:rPr>
                <w:rFonts w:hint="eastAsia" w:ascii="方正黑体_GBK" w:hAnsi="方正黑体_GBK" w:eastAsia="方正黑体_GBK"/>
                <w:vanish w:val="0"/>
                <w:spacing w:val="10"/>
                <w:kern w:val="2"/>
                <w:sz w:val="15"/>
                <w:szCs w:val="15"/>
              </w:rPr>
              <w:t>所生成和保留记载的相关电子数据及交易记录以及南银理财、</w:t>
            </w:r>
            <w:r>
              <w:rPr>
                <w:rFonts w:hint="eastAsia" w:ascii="方正黑体_GBK" w:hAnsi="方正黑体_GBK" w:eastAsia="方正黑体_GBK" w:cs="Times New Roman"/>
                <w:vanish w:val="0"/>
                <w:spacing w:val="10"/>
                <w:kern w:val="2"/>
                <w:sz w:val="15"/>
                <w:szCs w:val="15"/>
              </w:rPr>
              <w:t>销售机构</w:t>
            </w:r>
            <w:r>
              <w:rPr>
                <w:rFonts w:hint="eastAsia" w:ascii="方正黑体_GBK" w:hAnsi="方正黑体_GBK" w:eastAsia="方正黑体_GBK"/>
                <w:vanish w:val="0"/>
                <w:spacing w:val="10"/>
                <w:kern w:val="2"/>
                <w:sz w:val="15"/>
                <w:szCs w:val="15"/>
              </w:rPr>
              <w:t>、托管机构制作或保留的相关电子及纸质单据、凭证、记录等相关资料</w:t>
            </w:r>
            <w:r>
              <w:rPr>
                <w:rFonts w:hint="eastAsia" w:ascii="方正黑体_GBK" w:hAnsi="方正黑体_GBK" w:eastAsia="方正黑体_GBK" w:cs="Times New Roman"/>
                <w:vanish w:val="0"/>
                <w:spacing w:val="10"/>
                <w:kern w:val="2"/>
                <w:sz w:val="15"/>
                <w:szCs w:val="15"/>
              </w:rPr>
              <w:t>，</w:t>
            </w:r>
            <w:r>
              <w:rPr>
                <w:rFonts w:hint="eastAsia" w:ascii="方正黑体_GBK" w:hAnsi="方正黑体_GBK" w:eastAsia="方正黑体_GBK"/>
                <w:vanish w:val="0"/>
                <w:spacing w:val="10"/>
                <w:kern w:val="2"/>
                <w:sz w:val="15"/>
                <w:szCs w:val="15"/>
              </w:rPr>
              <w:t>构成有效证明投资者与南银理财双方之间权利义务关系的确定证据，投资者无条件认可电子数据的有效性和证据效力。</w:t>
            </w:r>
          </w:p>
        </w:tc>
      </w:tr>
    </w:tbl>
    <w:p>
      <w:pPr>
        <w:rPr>
          <w:rFonts w:hint="eastAsia" w:ascii="方正黑体_GBK" w:hAnsi="方正黑体_GBK" w:eastAsia="方正黑体_GBK"/>
          <w:sz w:val="20"/>
          <w:szCs w:val="20"/>
          <w:lang w:val="en-US" w:eastAsia="zh-CN"/>
        </w:rPr>
      </w:pPr>
    </w:p>
    <w:p>
      <w:pPr>
        <w:spacing w:line="240" w:lineRule="auto"/>
        <w:jc w:val="center"/>
        <w:rPr>
          <w:rFonts w:ascii="Times New Roman" w:hAnsi="Times New Roman" w:eastAsia="黑体"/>
          <w:b/>
          <w:bCs/>
          <w:sz w:val="36"/>
          <w:szCs w:val="20"/>
        </w:rPr>
      </w:pPr>
      <w:bookmarkStart w:id="33" w:name="_GoBack"/>
      <w:bookmarkEnd w:id="33"/>
    </w:p>
    <w:p>
      <w:pPr>
        <w:spacing w:line="240" w:lineRule="auto"/>
        <w:jc w:val="center"/>
        <w:rPr>
          <w:rFonts w:ascii="Times New Roman" w:hAnsi="Times New Roman" w:eastAsia="黑体"/>
          <w:b/>
          <w:bCs/>
          <w:sz w:val="36"/>
          <w:szCs w:val="20"/>
        </w:rPr>
      </w:pPr>
      <w:r>
        <w:rPr>
          <w:rFonts w:ascii="Times New Roman" w:hAnsi="Times New Roman" w:eastAsia="黑体"/>
          <w:b/>
          <w:bCs/>
          <w:sz w:val="36"/>
          <w:szCs w:val="20"/>
        </w:rPr>
        <w:t>理财产品销售协议书</w:t>
      </w:r>
    </w:p>
    <w:p>
      <w:pPr>
        <w:tabs>
          <w:tab w:val="left" w:pos="0"/>
        </w:tabs>
        <w:spacing w:line="240" w:lineRule="auto"/>
        <w:jc w:val="center"/>
        <w:rPr>
          <w:rFonts w:ascii="Times New Roman" w:hAnsi="Times New Roman"/>
          <w:sz w:val="22"/>
          <w:szCs w:val="28"/>
        </w:rPr>
      </w:pPr>
    </w:p>
    <w:p>
      <w:pPr>
        <w:tabs>
          <w:tab w:val="left" w:pos="0"/>
        </w:tabs>
        <w:spacing w:line="240" w:lineRule="auto"/>
        <w:jc w:val="center"/>
        <w:rPr>
          <w:rFonts w:ascii="Times New Roman" w:hAnsi="Times New Roman"/>
          <w:sz w:val="22"/>
          <w:szCs w:val="28"/>
        </w:rPr>
      </w:pPr>
    </w:p>
    <w:p>
      <w:pPr>
        <w:tabs>
          <w:tab w:val="left" w:pos="0"/>
        </w:tabs>
        <w:spacing w:line="240" w:lineRule="auto"/>
        <w:jc w:val="center"/>
        <w:rPr>
          <w:rFonts w:ascii="Times New Roman" w:hAnsi="Times New Roman"/>
          <w:sz w:val="22"/>
          <w:szCs w:val="28"/>
        </w:rPr>
      </w:pPr>
    </w:p>
    <w:p>
      <w:pPr>
        <w:tabs>
          <w:tab w:val="left" w:pos="0"/>
        </w:tabs>
        <w:spacing w:line="240" w:lineRule="auto"/>
        <w:jc w:val="center"/>
        <w:rPr>
          <w:rFonts w:ascii="Times New Roman" w:hAnsi="Times New Roman"/>
          <w:sz w:val="22"/>
          <w:szCs w:val="28"/>
        </w:rPr>
      </w:pPr>
    </w:p>
    <w:p>
      <w:pPr>
        <w:tabs>
          <w:tab w:val="left" w:pos="0"/>
        </w:tabs>
        <w:spacing w:line="240" w:lineRule="auto"/>
        <w:jc w:val="center"/>
        <w:rPr>
          <w:rFonts w:ascii="Times New Roman" w:hAnsi="Times New Roman"/>
          <w:sz w:val="22"/>
          <w:szCs w:val="28"/>
        </w:rPr>
      </w:pPr>
    </w:p>
    <w:p>
      <w:pPr>
        <w:tabs>
          <w:tab w:val="left" w:pos="0"/>
        </w:tabs>
        <w:spacing w:line="240" w:lineRule="auto"/>
        <w:jc w:val="center"/>
        <w:rPr>
          <w:rFonts w:ascii="Times New Roman" w:hAnsi="Times New Roman"/>
          <w:sz w:val="22"/>
          <w:szCs w:val="28"/>
        </w:rPr>
      </w:pPr>
    </w:p>
    <w:p>
      <w:pPr>
        <w:tabs>
          <w:tab w:val="left" w:pos="0"/>
        </w:tabs>
        <w:spacing w:line="240" w:lineRule="auto"/>
        <w:jc w:val="center"/>
        <w:rPr>
          <w:rFonts w:ascii="Times New Roman" w:hAnsi="Times New Roman"/>
          <w:sz w:val="22"/>
          <w:szCs w:val="28"/>
        </w:rPr>
      </w:pPr>
    </w:p>
    <w:p>
      <w:pPr>
        <w:tabs>
          <w:tab w:val="left" w:pos="0"/>
        </w:tabs>
        <w:spacing w:line="240" w:lineRule="auto"/>
        <w:jc w:val="center"/>
        <w:rPr>
          <w:rFonts w:ascii="Times New Roman" w:hAnsi="Times New Roman"/>
          <w:sz w:val="22"/>
          <w:szCs w:val="28"/>
        </w:rPr>
      </w:pPr>
    </w:p>
    <w:p>
      <w:pPr>
        <w:tabs>
          <w:tab w:val="left" w:pos="0"/>
        </w:tabs>
        <w:spacing w:line="240" w:lineRule="auto"/>
        <w:jc w:val="center"/>
        <w:rPr>
          <w:rFonts w:ascii="Times New Roman" w:hAnsi="Times New Roman"/>
          <w:sz w:val="22"/>
          <w:szCs w:val="28"/>
        </w:rPr>
      </w:pPr>
      <w:r>
        <w:rPr>
          <w:rFonts w:ascii="Times New Roman" w:hAnsi="Times New Roman"/>
          <w:sz w:val="22"/>
          <w:szCs w:val="28"/>
        </w:rPr>
        <w:t>编制单位：</w:t>
      </w:r>
      <w:r>
        <w:rPr>
          <w:rFonts w:ascii="Times New Roman" w:hAnsi="Times New Roman"/>
          <w:sz w:val="22"/>
          <w:szCs w:val="28"/>
          <w:u w:val="single"/>
        </w:rPr>
        <w:t>南银理财有限责任公司</w:t>
      </w:r>
    </w:p>
    <w:p>
      <w:pPr>
        <w:spacing w:line="240" w:lineRule="auto"/>
        <w:ind w:firstLine="3960" w:firstLineChars="1800"/>
        <w:rPr>
          <w:rFonts w:ascii="Times New Roman" w:hAnsi="Times New Roman" w:eastAsia="黑体"/>
          <w:b/>
          <w:bCs/>
          <w:sz w:val="36"/>
          <w:szCs w:val="20"/>
        </w:rPr>
      </w:pPr>
      <w:r>
        <w:rPr>
          <w:rFonts w:ascii="Times New Roman" w:hAnsi="Times New Roman"/>
          <w:sz w:val="22"/>
          <w:szCs w:val="28"/>
        </w:rPr>
        <w:t>版次号：</w:t>
      </w:r>
      <w:r>
        <w:rPr>
          <w:rFonts w:hint="eastAsia" w:ascii="Times New Roman" w:hAnsi="Times New Roman"/>
          <w:sz w:val="22"/>
          <w:szCs w:val="28"/>
          <w:u w:val="single"/>
        </w:rPr>
        <w:t>2021第2</w:t>
      </w:r>
      <w:r>
        <w:rPr>
          <w:rFonts w:ascii="Times New Roman" w:hAnsi="Times New Roman"/>
          <w:sz w:val="22"/>
          <w:szCs w:val="28"/>
          <w:u w:val="single"/>
        </w:rPr>
        <w:t>版</w:t>
      </w:r>
      <w:r>
        <w:rPr>
          <w:rFonts w:ascii="Times New Roman" w:hAnsi="Times New Roman"/>
          <w:sz w:val="22"/>
          <w:szCs w:val="28"/>
        </w:rPr>
        <w:br w:type="page"/>
      </w:r>
    </w:p>
    <w:p>
      <w:pPr>
        <w:adjustRightInd w:val="0"/>
        <w:snapToGrid w:val="0"/>
        <w:spacing w:line="240" w:lineRule="auto"/>
        <w:rPr>
          <w:rFonts w:ascii="Times New Roman" w:hAnsi="Times New Roman"/>
          <w:b/>
          <w:bCs/>
          <w:sz w:val="22"/>
          <w:szCs w:val="28"/>
        </w:rPr>
      </w:pPr>
      <w:bookmarkStart w:id="0" w:name="_Toc310770512"/>
      <w:bookmarkEnd w:id="0"/>
      <w:bookmarkStart w:id="1" w:name="_Toc310770283"/>
      <w:bookmarkEnd w:id="1"/>
      <w:bookmarkStart w:id="2" w:name="_Toc310773098"/>
      <w:bookmarkEnd w:id="2"/>
      <w:bookmarkStart w:id="3" w:name="_Toc310770511"/>
      <w:bookmarkEnd w:id="3"/>
      <w:bookmarkStart w:id="4" w:name="_Toc310836823"/>
      <w:bookmarkEnd w:id="4"/>
      <w:bookmarkStart w:id="5" w:name="_Toc310836822"/>
      <w:bookmarkEnd w:id="5"/>
      <w:bookmarkStart w:id="6" w:name="_Toc310243213"/>
      <w:bookmarkEnd w:id="6"/>
      <w:bookmarkStart w:id="7" w:name="_Toc310770287"/>
      <w:bookmarkEnd w:id="7"/>
      <w:bookmarkStart w:id="8" w:name="_Toc310770285"/>
      <w:bookmarkEnd w:id="8"/>
      <w:bookmarkStart w:id="9" w:name="_Toc310770513"/>
      <w:bookmarkEnd w:id="9"/>
      <w:bookmarkStart w:id="10" w:name="_Toc310773099"/>
      <w:bookmarkEnd w:id="10"/>
      <w:bookmarkStart w:id="11" w:name="_Toc310836824"/>
      <w:bookmarkEnd w:id="11"/>
      <w:bookmarkStart w:id="12" w:name="_Toc310770284"/>
      <w:bookmarkEnd w:id="12"/>
      <w:bookmarkStart w:id="13" w:name="_Toc310243214"/>
      <w:bookmarkEnd w:id="13"/>
      <w:bookmarkStart w:id="14" w:name="_Toc310773100"/>
      <w:bookmarkEnd w:id="14"/>
      <w:bookmarkStart w:id="15" w:name="_Toc310243215"/>
      <w:bookmarkEnd w:id="15"/>
      <w:r>
        <w:rPr>
          <w:rFonts w:ascii="Times New Roman" w:hAnsi="Times New Roman"/>
          <w:b/>
          <w:bCs/>
          <w:sz w:val="22"/>
          <w:szCs w:val="28"/>
        </w:rPr>
        <w:t>风险提示：</w:t>
      </w:r>
    </w:p>
    <w:p>
      <w:pPr>
        <w:adjustRightInd w:val="0"/>
        <w:snapToGrid w:val="0"/>
        <w:spacing w:line="240" w:lineRule="auto"/>
        <w:rPr>
          <w:rFonts w:ascii="Times New Roman" w:hAnsi="Times New Roman"/>
          <w:b/>
          <w:bCs/>
          <w:sz w:val="22"/>
          <w:szCs w:val="28"/>
        </w:rPr>
      </w:pPr>
      <w:r>
        <w:rPr>
          <w:rFonts w:ascii="Times New Roman" w:hAnsi="Times New Roman"/>
          <w:b/>
          <w:bCs/>
          <w:sz w:val="22"/>
          <w:szCs w:val="28"/>
        </w:rPr>
        <w:t>本理财产品是</w:t>
      </w:r>
      <w:r>
        <w:rPr>
          <w:rFonts w:hint="eastAsia" w:ascii="Times New Roman" w:hAnsi="Times New Roman"/>
          <w:b/>
          <w:bCs/>
          <w:sz w:val="22"/>
          <w:szCs w:val="28"/>
        </w:rPr>
        <w:t>净值型</w:t>
      </w:r>
      <w:r>
        <w:rPr>
          <w:rFonts w:ascii="Times New Roman" w:hAnsi="Times New Roman"/>
          <w:b/>
          <w:bCs/>
          <w:sz w:val="22"/>
          <w:szCs w:val="28"/>
        </w:rPr>
        <w:t>理财产品，不保证本金和收益，投资者的本金与收益可能会因市场变动而蒙受重大损失，投资者应仔细阅读</w:t>
      </w:r>
      <w:r>
        <w:rPr>
          <w:rFonts w:hint="eastAsia" w:ascii="Times New Roman" w:hAnsi="Times New Roman"/>
          <w:b/>
          <w:bCs/>
          <w:sz w:val="22"/>
          <w:szCs w:val="28"/>
        </w:rPr>
        <w:t>本理财产品销售协议书条款</w:t>
      </w:r>
      <w:r>
        <w:rPr>
          <w:rFonts w:ascii="Times New Roman" w:hAnsi="Times New Roman"/>
          <w:b/>
          <w:bCs/>
          <w:sz w:val="22"/>
          <w:szCs w:val="28"/>
        </w:rPr>
        <w:t>和对应期次的《理财产品说明书》《理财产品风险揭示书》</w:t>
      </w:r>
      <w:bookmarkStart w:id="16" w:name="_Hlk41679176"/>
      <w:r>
        <w:rPr>
          <w:rFonts w:ascii="Times New Roman" w:hAnsi="Times New Roman"/>
          <w:b/>
          <w:bCs/>
          <w:sz w:val="22"/>
          <w:szCs w:val="28"/>
        </w:rPr>
        <w:t>《投资者权益须知》</w:t>
      </w:r>
      <w:bookmarkEnd w:id="16"/>
      <w:r>
        <w:rPr>
          <w:rFonts w:ascii="Times New Roman" w:hAnsi="Times New Roman"/>
          <w:b/>
          <w:bCs/>
          <w:sz w:val="22"/>
          <w:szCs w:val="28"/>
        </w:rPr>
        <w:t>《理财产品投资协议书》，充分认识投资风险，谨慎投资。</w:t>
      </w:r>
    </w:p>
    <w:p>
      <w:pPr>
        <w:tabs>
          <w:tab w:val="left" w:pos="7920"/>
          <w:tab w:val="left" w:pos="8100"/>
        </w:tabs>
        <w:spacing w:line="240" w:lineRule="auto"/>
        <w:rPr>
          <w:rFonts w:ascii="Times New Roman" w:hAnsi="Times New Roman"/>
          <w:b/>
          <w:bCs/>
          <w:sz w:val="22"/>
          <w:szCs w:val="22"/>
        </w:rPr>
      </w:pPr>
    </w:p>
    <w:p>
      <w:pPr>
        <w:spacing w:line="240" w:lineRule="auto"/>
        <w:jc w:val="center"/>
        <w:rPr>
          <w:rFonts w:ascii="Times New Roman" w:hAnsi="Times New Roman" w:eastAsia="黑体"/>
          <w:b/>
          <w:bCs/>
          <w:sz w:val="36"/>
          <w:szCs w:val="20"/>
        </w:rPr>
      </w:pPr>
    </w:p>
    <w:p>
      <w:pPr>
        <w:spacing w:line="240" w:lineRule="auto"/>
        <w:jc w:val="center"/>
        <w:rPr>
          <w:rFonts w:ascii="Times New Roman" w:hAnsi="Times New Roman" w:eastAsia="黑体"/>
          <w:b/>
          <w:bCs/>
          <w:sz w:val="36"/>
          <w:szCs w:val="20"/>
        </w:rPr>
      </w:pPr>
      <w:r>
        <w:rPr>
          <w:rFonts w:ascii="Times New Roman" w:hAnsi="Times New Roman" w:eastAsia="黑体"/>
          <w:b/>
          <w:bCs/>
          <w:sz w:val="36"/>
          <w:szCs w:val="20"/>
        </w:rPr>
        <w:t>理财产品销售协议书</w:t>
      </w:r>
    </w:p>
    <w:p>
      <w:pPr>
        <w:spacing w:line="240" w:lineRule="auto"/>
        <w:ind w:firstLine="400" w:firstLineChars="200"/>
        <w:rPr>
          <w:rFonts w:ascii="Times New Roman" w:hAnsi="Times New Roman" w:eastAsia="方正细黑一简体"/>
          <w:sz w:val="20"/>
          <w:szCs w:val="20"/>
        </w:rPr>
      </w:pPr>
    </w:p>
    <w:p>
      <w:pPr>
        <w:spacing w:line="240" w:lineRule="auto"/>
        <w:ind w:firstLine="400" w:firstLineChars="200"/>
        <w:rPr>
          <w:rFonts w:ascii="Times New Roman" w:hAnsi="Times New Roman" w:eastAsia="方正细黑一简体"/>
          <w:sz w:val="20"/>
          <w:szCs w:val="20"/>
        </w:rPr>
      </w:pPr>
      <w:r>
        <w:rPr>
          <w:rFonts w:ascii="Times New Roman" w:hAnsi="Times New Roman" w:eastAsia="方正细黑一简体"/>
          <w:sz w:val="20"/>
          <w:szCs w:val="20"/>
        </w:rPr>
        <w:t>经甲方（南银理财有限责任公司，以下简称“南银理财”、“</w:t>
      </w:r>
      <w:r>
        <w:rPr>
          <w:rFonts w:ascii="Times New Roman" w:hAnsi="Times New Roman" w:eastAsia="方正细黑一简体"/>
          <w:color w:val="3D3D3D"/>
          <w:sz w:val="20"/>
          <w:szCs w:val="20"/>
        </w:rPr>
        <w:t>管理人”</w:t>
      </w:r>
      <w:r>
        <w:rPr>
          <w:rFonts w:hint="eastAsia" w:ascii="Times New Roman" w:hAnsi="Times New Roman" w:eastAsia="方正细黑一简体"/>
          <w:color w:val="3D3D3D"/>
          <w:sz w:val="20"/>
          <w:szCs w:val="20"/>
        </w:rPr>
        <w:t>、“产品管理人”</w:t>
      </w:r>
      <w:r>
        <w:rPr>
          <w:rFonts w:ascii="Times New Roman" w:hAnsi="Times New Roman" w:eastAsia="方正细黑一简体"/>
          <w:color w:val="3D3D3D"/>
          <w:sz w:val="20"/>
          <w:szCs w:val="20"/>
        </w:rPr>
        <w:t>或“理财产品管理人</w:t>
      </w:r>
      <w:r>
        <w:rPr>
          <w:rFonts w:ascii="Times New Roman" w:hAnsi="Times New Roman" w:eastAsia="方正细黑一简体"/>
          <w:sz w:val="20"/>
          <w:szCs w:val="20"/>
        </w:rPr>
        <w:t>”）与乙方（</w:t>
      </w:r>
      <w:r>
        <w:rPr>
          <w:rFonts w:hint="eastAsia" w:ascii="Times New Roman" w:hAnsi="Times New Roman" w:eastAsia="方正细黑一简体"/>
          <w:sz w:val="20"/>
          <w:szCs w:val="20"/>
        </w:rPr>
        <w:t>以下简称“</w:t>
      </w:r>
      <w:r>
        <w:rPr>
          <w:rFonts w:ascii="Times New Roman" w:hAnsi="Times New Roman" w:eastAsia="方正细黑一简体"/>
          <w:sz w:val="20"/>
          <w:szCs w:val="20"/>
        </w:rPr>
        <w:t>投资者</w:t>
      </w:r>
      <w:r>
        <w:rPr>
          <w:rFonts w:hint="eastAsia" w:ascii="Times New Roman" w:hAnsi="Times New Roman" w:eastAsia="方正细黑一简体"/>
          <w:sz w:val="20"/>
          <w:szCs w:val="20"/>
        </w:rPr>
        <w:t>”</w:t>
      </w:r>
      <w:r>
        <w:rPr>
          <w:rFonts w:ascii="Times New Roman" w:hAnsi="Times New Roman" w:eastAsia="方正细黑一简体"/>
          <w:sz w:val="20"/>
          <w:szCs w:val="20"/>
        </w:rPr>
        <w:t>）双方平等友好协商，本着平等自愿、诚实守信的原则，就乙方购买甲方管理的理财产品的有关事宜达成协议如下：</w:t>
      </w:r>
    </w:p>
    <w:p>
      <w:pPr>
        <w:numPr>
          <w:ilvl w:val="0"/>
          <w:numId w:val="5"/>
        </w:numPr>
        <w:spacing w:line="240" w:lineRule="auto"/>
        <w:ind w:firstLine="442" w:firstLineChars="200"/>
        <w:rPr>
          <w:rFonts w:ascii="Times New Roman" w:hAnsi="Times New Roman"/>
          <w:b/>
          <w:bCs/>
          <w:spacing w:val="10"/>
          <w:sz w:val="20"/>
          <w:szCs w:val="20"/>
        </w:rPr>
      </w:pPr>
      <w:r>
        <w:rPr>
          <w:rFonts w:ascii="Times New Roman" w:hAnsi="Times New Roman"/>
          <w:b/>
          <w:bCs/>
          <w:spacing w:val="10"/>
          <w:sz w:val="20"/>
          <w:szCs w:val="20"/>
        </w:rPr>
        <w:t>名词释义</w:t>
      </w:r>
    </w:p>
    <w:p>
      <w:pPr>
        <w:pStyle w:val="18"/>
        <w:spacing w:line="240" w:lineRule="auto"/>
        <w:ind w:firstLine="340"/>
        <w:rPr>
          <w:rFonts w:ascii="Times New Roman" w:hAnsi="Times New Roman"/>
          <w:spacing w:val="10"/>
          <w:sz w:val="20"/>
          <w:szCs w:val="20"/>
        </w:rPr>
      </w:pPr>
      <w:r>
        <w:rPr>
          <w:rFonts w:ascii="Times New Roman" w:hAnsi="Times New Roman"/>
          <w:spacing w:val="10"/>
          <w:sz w:val="20"/>
          <w:szCs w:val="20"/>
        </w:rPr>
        <w:t>本协议项下用词与对应期次的《理财产品说明书》中相关用词含义一致，本协议另有说明的除外。</w:t>
      </w:r>
    </w:p>
    <w:p>
      <w:pPr>
        <w:numPr>
          <w:ilvl w:val="0"/>
          <w:numId w:val="5"/>
        </w:numPr>
        <w:spacing w:line="240" w:lineRule="auto"/>
        <w:ind w:firstLine="442" w:firstLineChars="200"/>
        <w:rPr>
          <w:rFonts w:ascii="Times New Roman" w:hAnsi="Times New Roman"/>
          <w:b/>
          <w:bCs/>
          <w:spacing w:val="10"/>
          <w:sz w:val="20"/>
          <w:szCs w:val="20"/>
        </w:rPr>
      </w:pPr>
      <w:r>
        <w:rPr>
          <w:rFonts w:hint="eastAsia" w:ascii="Times New Roman" w:hAnsi="Times New Roman"/>
          <w:b/>
          <w:bCs/>
          <w:spacing w:val="10"/>
          <w:sz w:val="20"/>
          <w:szCs w:val="20"/>
        </w:rPr>
        <w:t>销售机构</w:t>
      </w:r>
    </w:p>
    <w:p>
      <w:pPr>
        <w:spacing w:line="240" w:lineRule="auto"/>
        <w:ind w:firstLine="440" w:firstLineChars="200"/>
        <w:rPr>
          <w:rFonts w:ascii="Times New Roman" w:hAnsi="Times New Roman"/>
          <w:spacing w:val="10"/>
          <w:sz w:val="20"/>
          <w:szCs w:val="20"/>
        </w:rPr>
      </w:pPr>
      <w:r>
        <w:rPr>
          <w:rFonts w:hint="eastAsia" w:ascii="Times New Roman" w:hAnsi="Times New Roman"/>
          <w:spacing w:val="10"/>
          <w:sz w:val="20"/>
          <w:szCs w:val="20"/>
        </w:rPr>
        <w:t>【</w:t>
      </w:r>
      <w:r>
        <w:rPr>
          <w:rFonts w:hint="eastAsia"/>
          <w:spacing w:val="10"/>
          <w:sz w:val="20"/>
          <w:szCs w:val="20"/>
          <w:lang w:val="en-US" w:eastAsia="zh-CN"/>
        </w:rPr>
        <w:t>石嘴山银行股份有限公司</w:t>
      </w:r>
      <w:r>
        <w:rPr>
          <w:rFonts w:hint="eastAsia" w:ascii="Times New Roman" w:hAnsi="Times New Roman"/>
          <w:spacing w:val="10"/>
          <w:sz w:val="20"/>
          <w:szCs w:val="20"/>
        </w:rPr>
        <w:t>】作为本理财产品的销售机构，</w:t>
      </w:r>
      <w:r>
        <w:rPr>
          <w:rFonts w:ascii="Times New Roman" w:hAnsi="Times New Roman"/>
          <w:spacing w:val="10"/>
          <w:sz w:val="20"/>
          <w:szCs w:val="20"/>
        </w:rPr>
        <w:t>负责本理财产品的销售</w:t>
      </w:r>
      <w:r>
        <w:rPr>
          <w:rFonts w:hint="eastAsia" w:ascii="Times New Roman" w:hAnsi="Times New Roman"/>
          <w:spacing w:val="10"/>
          <w:sz w:val="20"/>
          <w:szCs w:val="20"/>
        </w:rPr>
        <w:t>。</w:t>
      </w:r>
    </w:p>
    <w:p>
      <w:pPr>
        <w:numPr>
          <w:ilvl w:val="0"/>
          <w:numId w:val="5"/>
        </w:numPr>
        <w:spacing w:line="240" w:lineRule="auto"/>
        <w:ind w:firstLine="442" w:firstLineChars="200"/>
        <w:rPr>
          <w:rFonts w:ascii="Times New Roman" w:hAnsi="Times New Roman"/>
          <w:b/>
          <w:bCs/>
          <w:spacing w:val="10"/>
          <w:sz w:val="20"/>
          <w:szCs w:val="20"/>
        </w:rPr>
      </w:pPr>
      <w:r>
        <w:rPr>
          <w:rFonts w:ascii="Times New Roman" w:hAnsi="Times New Roman"/>
          <w:b/>
          <w:bCs/>
          <w:spacing w:val="10"/>
          <w:sz w:val="20"/>
          <w:szCs w:val="20"/>
        </w:rPr>
        <w:t>甲方的权利与义务：</w:t>
      </w:r>
    </w:p>
    <w:p>
      <w:pPr>
        <w:numPr>
          <w:ilvl w:val="0"/>
          <w:numId w:val="6"/>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甲方应当履行恪尽职守、勤勉尽责、诚实守信、有效管理的义务。</w:t>
      </w:r>
    </w:p>
    <w:p>
      <w:pPr>
        <w:numPr>
          <w:ilvl w:val="0"/>
          <w:numId w:val="6"/>
        </w:numPr>
        <w:spacing w:line="240" w:lineRule="auto"/>
        <w:ind w:firstLine="440" w:firstLineChars="200"/>
        <w:rPr>
          <w:rFonts w:ascii="Times New Roman" w:hAnsi="Times New Roman"/>
          <w:spacing w:val="10"/>
          <w:sz w:val="20"/>
          <w:szCs w:val="20"/>
        </w:rPr>
      </w:pPr>
      <w:r>
        <w:rPr>
          <w:rFonts w:hint="eastAsia" w:ascii="Times New Roman" w:hAnsi="Times New Roman"/>
          <w:spacing w:val="10"/>
          <w:sz w:val="20"/>
          <w:szCs w:val="20"/>
        </w:rPr>
        <w:t>甲方应当按照理财产品销售文件的约定向投资者分配收益。</w:t>
      </w:r>
    </w:p>
    <w:p>
      <w:pPr>
        <w:numPr>
          <w:ilvl w:val="0"/>
          <w:numId w:val="6"/>
        </w:numPr>
        <w:spacing w:line="240" w:lineRule="auto"/>
        <w:ind w:firstLine="440" w:firstLineChars="200"/>
        <w:rPr>
          <w:rFonts w:ascii="Times New Roman" w:hAnsi="Times New Roman"/>
          <w:spacing w:val="10"/>
          <w:sz w:val="20"/>
          <w:szCs w:val="20"/>
        </w:rPr>
      </w:pPr>
      <w:r>
        <w:rPr>
          <w:rFonts w:hint="eastAsia" w:ascii="Times New Roman" w:hAnsi="Times New Roman"/>
          <w:spacing w:val="10"/>
          <w:sz w:val="20"/>
          <w:szCs w:val="20"/>
        </w:rPr>
        <w:t>甲方应当按照法律法规、理财产品销售文件的约定履行信息披露义务。</w:t>
      </w:r>
    </w:p>
    <w:p>
      <w:pPr>
        <w:numPr>
          <w:ilvl w:val="0"/>
          <w:numId w:val="6"/>
        </w:numPr>
        <w:spacing w:line="240" w:lineRule="auto"/>
        <w:ind w:firstLine="440" w:firstLineChars="200"/>
        <w:rPr>
          <w:rFonts w:ascii="Times New Roman" w:hAnsi="Times New Roman"/>
          <w:spacing w:val="10"/>
          <w:sz w:val="20"/>
          <w:szCs w:val="20"/>
        </w:rPr>
      </w:pPr>
      <w:r>
        <w:rPr>
          <w:rFonts w:hint="eastAsia" w:ascii="Times New Roman" w:hAnsi="Times New Roman"/>
          <w:spacing w:val="10"/>
          <w:sz w:val="20"/>
          <w:szCs w:val="20"/>
        </w:rPr>
        <w:t>甲方应当确保理财业务与其他业务相分离，理财产品之间相分离，理财业务操作与其他业务操作相分离。</w:t>
      </w:r>
    </w:p>
    <w:p>
      <w:pPr>
        <w:numPr>
          <w:ilvl w:val="0"/>
          <w:numId w:val="6"/>
        </w:numPr>
        <w:spacing w:line="240" w:lineRule="auto"/>
        <w:ind w:firstLine="440" w:firstLineChars="200"/>
        <w:rPr>
          <w:rFonts w:ascii="Times New Roman" w:hAnsi="Times New Roman"/>
          <w:spacing w:val="10"/>
          <w:sz w:val="20"/>
          <w:szCs w:val="20"/>
        </w:rPr>
      </w:pPr>
      <w:r>
        <w:rPr>
          <w:rFonts w:hint="eastAsia" w:ascii="Times New Roman" w:hAnsi="Times New Roman"/>
          <w:spacing w:val="10"/>
          <w:sz w:val="20"/>
          <w:szCs w:val="20"/>
        </w:rPr>
        <w:t>甲方</w:t>
      </w:r>
      <w:r>
        <w:rPr>
          <w:rFonts w:ascii="Times New Roman" w:hAnsi="Times New Roman"/>
          <w:spacing w:val="10"/>
          <w:sz w:val="20"/>
          <w:szCs w:val="20"/>
        </w:rPr>
        <w:t>应当遵守市场交易和公平交易原则，不得在理财产品之间、理财产品投资者之间或者理财产品投资者与其他市场主体之间进行利益输送</w:t>
      </w:r>
      <w:r>
        <w:rPr>
          <w:rFonts w:hint="eastAsia" w:ascii="Times New Roman" w:hAnsi="Times New Roman"/>
          <w:spacing w:val="10"/>
          <w:sz w:val="20"/>
          <w:szCs w:val="20"/>
        </w:rPr>
        <w:t>。</w:t>
      </w:r>
    </w:p>
    <w:p>
      <w:pPr>
        <w:numPr>
          <w:ilvl w:val="0"/>
          <w:numId w:val="6"/>
        </w:numPr>
        <w:spacing w:line="240" w:lineRule="auto"/>
        <w:ind w:firstLine="440" w:firstLineChars="200"/>
        <w:rPr>
          <w:rFonts w:ascii="Times New Roman" w:hAnsi="Times New Roman"/>
          <w:spacing w:val="10"/>
          <w:sz w:val="20"/>
          <w:szCs w:val="20"/>
        </w:rPr>
      </w:pPr>
      <w:r>
        <w:rPr>
          <w:rFonts w:hint="eastAsia" w:ascii="Times New Roman" w:hAnsi="Times New Roman"/>
          <w:spacing w:val="10"/>
          <w:sz w:val="20"/>
          <w:szCs w:val="20"/>
        </w:rPr>
        <w:t>甲方应当选择</w:t>
      </w:r>
      <w:r>
        <w:rPr>
          <w:rFonts w:ascii="Times New Roman" w:hAnsi="Times New Roman"/>
          <w:spacing w:val="10"/>
          <w:sz w:val="20"/>
          <w:szCs w:val="20"/>
        </w:rPr>
        <w:t>具有证券投资基金托管业务资格的金融机构、银行业理财登记托管机构或者国务院银行业监督管理机构认可的其他机构托管理财产品</w:t>
      </w:r>
      <w:r>
        <w:rPr>
          <w:rFonts w:hint="eastAsia" w:ascii="Times New Roman" w:hAnsi="Times New Roman"/>
          <w:spacing w:val="10"/>
          <w:sz w:val="20"/>
          <w:szCs w:val="20"/>
        </w:rPr>
        <w:t>。</w:t>
      </w:r>
    </w:p>
    <w:p>
      <w:pPr>
        <w:numPr>
          <w:ilvl w:val="0"/>
          <w:numId w:val="6"/>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在本协议约定的投资范围和权限内，甲方拥有管理和运用理财资金的权利，并有权按照对应期次《理财产品说明书》的约定收取相应费用、业绩报酬。</w:t>
      </w:r>
    </w:p>
    <w:p>
      <w:pPr>
        <w:numPr>
          <w:ilvl w:val="0"/>
          <w:numId w:val="6"/>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由于投资管理或者获取投资标的的需要，甲方有权决定以理财产品财产支付</w:t>
      </w:r>
      <w:r>
        <w:rPr>
          <w:rFonts w:hint="eastAsia" w:ascii="Times New Roman" w:hAnsi="Times New Roman"/>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Times New Roman" w:hAnsi="Times New Roman"/>
          <w:spacing w:val="10"/>
          <w:sz w:val="20"/>
          <w:szCs w:val="20"/>
        </w:rPr>
        <w:t>，在实际发生时列支。</w:t>
      </w:r>
    </w:p>
    <w:p>
      <w:pPr>
        <w:numPr>
          <w:ilvl w:val="0"/>
          <w:numId w:val="6"/>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ascii="Times New Roman" w:hAnsi="Times New Roman"/>
          <w:spacing w:val="10"/>
          <w:sz w:val="20"/>
          <w:szCs w:val="20"/>
        </w:rPr>
        <w:t>应</w:t>
      </w:r>
      <w:r>
        <w:rPr>
          <w:rFonts w:ascii="Times New Roman" w:hAnsi="Times New Roman"/>
          <w:spacing w:val="10"/>
          <w:sz w:val="20"/>
          <w:szCs w:val="20"/>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numPr>
          <w:ilvl w:val="0"/>
          <w:numId w:val="6"/>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甲方有权根据产品运作的需要选任必要的业务合作机构</w:t>
      </w:r>
      <w:r>
        <w:rPr>
          <w:rFonts w:hint="eastAsia" w:ascii="Times New Roman" w:hAnsi="Times New Roman"/>
          <w:spacing w:val="10"/>
          <w:sz w:val="20"/>
          <w:szCs w:val="20"/>
        </w:rPr>
        <w:t>。</w:t>
      </w:r>
    </w:p>
    <w:p>
      <w:pPr>
        <w:numPr>
          <w:ilvl w:val="0"/>
          <w:numId w:val="6"/>
        </w:numPr>
        <w:spacing w:line="240" w:lineRule="auto"/>
        <w:ind w:firstLine="402" w:firstLineChars="200"/>
        <w:rPr>
          <w:rFonts w:ascii="Times New Roman" w:hAnsi="Times New Roman"/>
          <w:b/>
          <w:bCs/>
          <w:spacing w:val="10"/>
          <w:sz w:val="20"/>
          <w:szCs w:val="20"/>
        </w:rPr>
      </w:pPr>
      <w:r>
        <w:rPr>
          <w:b/>
          <w:bCs/>
          <w:color w:val="000000"/>
          <w:kern w:val="0"/>
          <w:sz w:val="20"/>
          <w:szCs w:val="16"/>
        </w:rPr>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rFonts w:ascii="Times New Roman" w:hAnsi="Times New Roman"/>
          <w:b/>
          <w:bCs/>
          <w:spacing w:val="10"/>
          <w:sz w:val="20"/>
          <w:szCs w:val="20"/>
        </w:rPr>
        <w:t>甲方</w:t>
      </w:r>
      <w:r>
        <w:rPr>
          <w:rFonts w:hint="eastAsia" w:ascii="Times New Roman" w:hAnsi="Times New Roman"/>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rFonts w:ascii="Times New Roman" w:hAnsi="Times New Roman"/>
          <w:b/>
          <w:bCs/>
          <w:color w:val="000000"/>
          <w:kern w:val="0"/>
          <w:sz w:val="20"/>
          <w:szCs w:val="16"/>
        </w:rPr>
        <w:t>在办理与理财产品相关事项</w:t>
      </w:r>
      <w:r>
        <w:rPr>
          <w:rFonts w:hint="eastAsia"/>
          <w:b/>
          <w:bCs/>
          <w:color w:val="000000"/>
          <w:kern w:val="0"/>
          <w:sz w:val="20"/>
          <w:szCs w:val="16"/>
        </w:rPr>
        <w:t>需要</w:t>
      </w:r>
      <w:r>
        <w:rPr>
          <w:rFonts w:ascii="Times New Roman" w:hAnsi="Times New Roman"/>
          <w:b/>
          <w:bCs/>
          <w:color w:val="000000"/>
          <w:kern w:val="0"/>
          <w:sz w:val="20"/>
          <w:szCs w:val="16"/>
        </w:rPr>
        <w:t>的情况下向服务机构及其他</w:t>
      </w:r>
      <w:r>
        <w:rPr>
          <w:b/>
          <w:bCs/>
          <w:color w:val="000000"/>
          <w:kern w:val="0"/>
          <w:sz w:val="20"/>
          <w:szCs w:val="16"/>
        </w:rPr>
        <w:t>管理人或销售机构</w:t>
      </w:r>
      <w:r>
        <w:rPr>
          <w:rFonts w:ascii="Times New Roman" w:hAnsi="Times New Roman"/>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rFonts w:ascii="Times New Roman" w:hAnsi="Times New Roman"/>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rFonts w:ascii="Times New Roman" w:hAnsi="Times New Roman"/>
          <w:b/>
          <w:bCs/>
          <w:color w:val="000000"/>
          <w:kern w:val="0"/>
          <w:sz w:val="20"/>
          <w:szCs w:val="16"/>
        </w:rPr>
        <w:t>。</w:t>
      </w:r>
    </w:p>
    <w:p>
      <w:pPr>
        <w:numPr>
          <w:ilvl w:val="0"/>
          <w:numId w:val="6"/>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甲方</w:t>
      </w:r>
      <w:r>
        <w:rPr>
          <w:rFonts w:hint="eastAsia" w:ascii="Times New Roman" w:hAnsi="Times New Roman"/>
          <w:spacing w:val="10"/>
          <w:sz w:val="20"/>
          <w:szCs w:val="20"/>
        </w:rPr>
        <w:t>无义务</w:t>
      </w:r>
      <w:r>
        <w:rPr>
          <w:rFonts w:ascii="Times New Roman" w:hAnsi="Times New Roman"/>
          <w:spacing w:val="10"/>
          <w:sz w:val="20"/>
          <w:szCs w:val="20"/>
        </w:rPr>
        <w:t>对第三人支付本理财产品清算分配金额及相关权益，法律法规另有规定的除外。</w:t>
      </w:r>
    </w:p>
    <w:p>
      <w:pPr>
        <w:numPr>
          <w:ilvl w:val="0"/>
          <w:numId w:val="6"/>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甲方以其固有财产先行垫付因处理本理财产品相关事务所支出的理财产品费用及税费的，对理财产品资金享有优先受偿的权利。</w:t>
      </w:r>
    </w:p>
    <w:p>
      <w:pPr>
        <w:numPr>
          <w:ilvl w:val="0"/>
          <w:numId w:val="6"/>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甲方有权根据本理财产品销售文件的约定提前终止或延长本理财产品的存续期限。</w:t>
      </w:r>
    </w:p>
    <w:p>
      <w:pPr>
        <w:numPr>
          <w:ilvl w:val="0"/>
          <w:numId w:val="6"/>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甲方有权调整本理财产品的认购或申购起点、单笔认购或申购上限等要素。</w:t>
      </w:r>
    </w:p>
    <w:p>
      <w:pPr>
        <w:numPr>
          <w:ilvl w:val="0"/>
          <w:numId w:val="6"/>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甲方有权根据相关规定及销售文件的约定，变更销售文件内容。</w:t>
      </w:r>
    </w:p>
    <w:p>
      <w:pPr>
        <w:numPr>
          <w:ilvl w:val="0"/>
          <w:numId w:val="6"/>
        </w:numPr>
        <w:spacing w:line="240" w:lineRule="auto"/>
        <w:ind w:firstLine="442" w:firstLineChars="200"/>
        <w:rPr>
          <w:rFonts w:ascii="Times New Roman" w:hAnsi="Times New Roman"/>
          <w:b/>
          <w:bCs/>
          <w:spacing w:val="10"/>
          <w:sz w:val="20"/>
          <w:szCs w:val="20"/>
        </w:rPr>
      </w:pPr>
      <w:bookmarkStart w:id="17" w:name="_Hlk41902117"/>
      <w:r>
        <w:rPr>
          <w:rFonts w:hint="eastAsia" w:ascii="Times New Roman" w:hAnsi="Times New Roman"/>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ascii="Times New Roman" w:hAnsi="Times New Roman"/>
          <w:b/>
          <w:spacing w:val="10"/>
          <w:sz w:val="20"/>
          <w:szCs w:val="22"/>
        </w:rPr>
        <w:t>，由此</w:t>
      </w:r>
      <w:r>
        <w:rPr>
          <w:rFonts w:ascii="Times New Roman" w:hAnsi="Times New Roman"/>
          <w:b/>
          <w:spacing w:val="10"/>
          <w:sz w:val="20"/>
          <w:szCs w:val="22"/>
        </w:rPr>
        <w:t>产生的一切损失及费用将由乙方承担，甲方</w:t>
      </w:r>
      <w:r>
        <w:rPr>
          <w:rFonts w:hint="eastAsia" w:ascii="Times New Roman" w:hAnsi="Times New Roman"/>
          <w:b/>
          <w:spacing w:val="10"/>
          <w:sz w:val="20"/>
          <w:szCs w:val="22"/>
        </w:rPr>
        <w:t>或销售机构</w:t>
      </w:r>
      <w:r>
        <w:rPr>
          <w:rFonts w:ascii="Times New Roman" w:hAnsi="Times New Roman"/>
          <w:b/>
          <w:spacing w:val="10"/>
          <w:sz w:val="20"/>
          <w:szCs w:val="22"/>
        </w:rPr>
        <w:t>有权将此损失及费用从乙方的授权指定账户、理财本金及收益中扣除</w:t>
      </w:r>
      <w:r>
        <w:rPr>
          <w:rFonts w:ascii="Times New Roman" w:hAnsi="Times New Roman"/>
          <w:b/>
          <w:bCs/>
          <w:spacing w:val="10"/>
          <w:sz w:val="20"/>
          <w:szCs w:val="20"/>
        </w:rPr>
        <w:t>。</w:t>
      </w:r>
    </w:p>
    <w:p>
      <w:pPr>
        <w:numPr>
          <w:ilvl w:val="0"/>
          <w:numId w:val="6"/>
        </w:numPr>
        <w:spacing w:line="240" w:lineRule="auto"/>
        <w:ind w:firstLine="442" w:firstLineChars="200"/>
        <w:rPr>
          <w:rFonts w:ascii="Times New Roman" w:hAnsi="Times New Roman"/>
          <w:b/>
          <w:bCs/>
          <w:spacing w:val="10"/>
          <w:sz w:val="20"/>
          <w:szCs w:val="20"/>
        </w:rPr>
      </w:pPr>
      <w:r>
        <w:rPr>
          <w:rFonts w:hint="eastAsia" w:ascii="Times New Roman" w:hAnsi="Times New Roman"/>
          <w:b/>
          <w:bCs/>
          <w:spacing w:val="10"/>
          <w:sz w:val="20"/>
          <w:szCs w:val="20"/>
        </w:rPr>
        <w:t>销售机构为甲方的情形下，甲方</w:t>
      </w:r>
      <w:r>
        <w:rPr>
          <w:rFonts w:ascii="Times New Roman" w:hAnsi="Times New Roman"/>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ascii="Times New Roman" w:hAnsi="Times New Roman"/>
          <w:b/>
          <w:bCs/>
          <w:spacing w:val="10"/>
          <w:sz w:val="20"/>
          <w:szCs w:val="20"/>
        </w:rPr>
        <w:t>销售机构非甲方的情形下，</w:t>
      </w:r>
      <w:r>
        <w:rPr>
          <w:rFonts w:ascii="Times New Roman" w:hAnsi="Times New Roman"/>
          <w:b/>
          <w:bCs/>
          <w:spacing w:val="10"/>
          <w:sz w:val="20"/>
          <w:szCs w:val="20"/>
        </w:rPr>
        <w:t>甲方按照理财产品说明书约定向乙方进行理财产品份额的收益分配并将对应资金划入</w:t>
      </w:r>
      <w:r>
        <w:rPr>
          <w:rFonts w:hint="eastAsia" w:ascii="Times New Roman" w:hAnsi="Times New Roman"/>
          <w:b/>
          <w:bCs/>
          <w:spacing w:val="10"/>
          <w:sz w:val="20"/>
          <w:szCs w:val="20"/>
        </w:rPr>
        <w:t>销售</w:t>
      </w:r>
      <w:r>
        <w:rPr>
          <w:rFonts w:ascii="Times New Roman" w:hAnsi="Times New Roman"/>
          <w:b/>
          <w:bCs/>
          <w:spacing w:val="10"/>
          <w:sz w:val="20"/>
          <w:szCs w:val="20"/>
        </w:rPr>
        <w:t>机构账户后，由</w:t>
      </w:r>
      <w:r>
        <w:rPr>
          <w:rFonts w:hint="eastAsia" w:ascii="Times New Roman" w:hAnsi="Times New Roman"/>
          <w:b/>
          <w:bCs/>
          <w:spacing w:val="10"/>
          <w:sz w:val="20"/>
          <w:szCs w:val="20"/>
        </w:rPr>
        <w:t>销售</w:t>
      </w:r>
      <w:r>
        <w:rPr>
          <w:rFonts w:ascii="Times New Roman" w:hAnsi="Times New Roman"/>
          <w:b/>
          <w:bCs/>
          <w:spacing w:val="10"/>
          <w:sz w:val="20"/>
          <w:szCs w:val="20"/>
        </w:rPr>
        <w:t>机构向乙方授权指定账户划付对应资金。</w:t>
      </w:r>
      <w:r>
        <w:rPr>
          <w:rFonts w:hint="eastAsia" w:ascii="Times New Roman" w:hAnsi="Times New Roman"/>
          <w:b/>
          <w:bCs/>
          <w:spacing w:val="10"/>
          <w:sz w:val="20"/>
          <w:szCs w:val="20"/>
        </w:rPr>
        <w:t>销售</w:t>
      </w:r>
      <w:r>
        <w:rPr>
          <w:rFonts w:ascii="Times New Roman" w:hAnsi="Times New Roman"/>
          <w:b/>
          <w:bCs/>
          <w:spacing w:val="10"/>
          <w:sz w:val="20"/>
          <w:szCs w:val="20"/>
        </w:rPr>
        <w:t>机构未及时足额划付资金，或</w:t>
      </w:r>
      <w:r>
        <w:rPr>
          <w:rFonts w:hint="eastAsia" w:ascii="Times New Roman" w:hAnsi="Times New Roman"/>
          <w:b/>
          <w:bCs/>
          <w:spacing w:val="10"/>
          <w:sz w:val="20"/>
          <w:szCs w:val="20"/>
        </w:rPr>
        <w:t>销售</w:t>
      </w:r>
      <w:r>
        <w:rPr>
          <w:rFonts w:ascii="Times New Roman" w:hAnsi="Times New Roman"/>
          <w:b/>
          <w:bCs/>
          <w:spacing w:val="10"/>
          <w:sz w:val="20"/>
          <w:szCs w:val="20"/>
        </w:rPr>
        <w:t>机构清算账户内资金被依法冻结或扣划，或</w:t>
      </w:r>
      <w:r>
        <w:rPr>
          <w:rFonts w:hint="eastAsia" w:ascii="Times New Roman" w:hAnsi="Times New Roman"/>
          <w:b/>
          <w:bCs/>
          <w:spacing w:val="10"/>
          <w:sz w:val="20"/>
          <w:szCs w:val="20"/>
        </w:rPr>
        <w:t>销售</w:t>
      </w:r>
      <w:r>
        <w:rPr>
          <w:rFonts w:ascii="Times New Roman" w:hAnsi="Times New Roman"/>
          <w:b/>
          <w:bCs/>
          <w:spacing w:val="10"/>
          <w:sz w:val="20"/>
          <w:szCs w:val="20"/>
        </w:rPr>
        <w:t>机构清算账户处于被挂失、冻结、注销或其他非正常状态等原因而导致交易失败，由</w:t>
      </w:r>
      <w:r>
        <w:rPr>
          <w:rFonts w:hint="eastAsia" w:ascii="Times New Roman" w:hAnsi="Times New Roman"/>
          <w:b/>
          <w:bCs/>
          <w:spacing w:val="10"/>
          <w:sz w:val="20"/>
          <w:szCs w:val="20"/>
        </w:rPr>
        <w:t>销售</w:t>
      </w:r>
      <w:r>
        <w:rPr>
          <w:rFonts w:ascii="Times New Roman" w:hAnsi="Times New Roman"/>
          <w:b/>
          <w:bCs/>
          <w:spacing w:val="10"/>
          <w:sz w:val="20"/>
          <w:szCs w:val="20"/>
        </w:rPr>
        <w:t>机构与投资者依法协商解决。</w:t>
      </w:r>
    </w:p>
    <w:p>
      <w:pPr>
        <w:numPr>
          <w:ilvl w:val="0"/>
          <w:numId w:val="6"/>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甲方或</w:t>
      </w:r>
      <w:r>
        <w:rPr>
          <w:rFonts w:hint="eastAsia" w:ascii="Times New Roman" w:hAnsi="Times New Roman"/>
          <w:spacing w:val="10"/>
          <w:sz w:val="20"/>
          <w:szCs w:val="20"/>
        </w:rPr>
        <w:t>销售</w:t>
      </w:r>
      <w:r>
        <w:rPr>
          <w:rFonts w:ascii="Times New Roman" w:hAnsi="Times New Roman"/>
          <w:spacing w:val="10"/>
          <w:sz w:val="20"/>
          <w:szCs w:val="20"/>
        </w:rPr>
        <w:t>机构发现或有合理理由怀疑乙方或其资金存在洗钱、恐怖融资、逃税等嫌疑，甲方有权提前终止本协议。</w:t>
      </w:r>
    </w:p>
    <w:p>
      <w:pPr>
        <w:numPr>
          <w:ilvl w:val="0"/>
          <w:numId w:val="6"/>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甲方在此特别披露：</w:t>
      </w:r>
      <w:r>
        <w:rPr>
          <w:rFonts w:hint="eastAsia" w:ascii="Times New Roman" w:hAnsi="Times New Roman"/>
          <w:b/>
          <w:bCs/>
          <w:spacing w:val="10"/>
          <w:sz w:val="20"/>
          <w:szCs w:val="20"/>
        </w:rPr>
        <w:t>若产品管理人的关联方担任理财产品的销售机构、托管人、合作机构的，产品管理人将按照法律法规和监管要求履行相应程序，乙方认购或申购理财产品即视为同意该等安排。</w:t>
      </w:r>
    </w:p>
    <w:bookmarkEnd w:id="17"/>
    <w:p>
      <w:pPr>
        <w:numPr>
          <w:ilvl w:val="0"/>
          <w:numId w:val="6"/>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法律法规规定及</w:t>
      </w:r>
      <w:bookmarkStart w:id="18" w:name="_Hlk41902131"/>
      <w:r>
        <w:rPr>
          <w:rFonts w:ascii="Times New Roman" w:hAnsi="Times New Roman"/>
          <w:spacing w:val="10"/>
          <w:sz w:val="20"/>
          <w:szCs w:val="20"/>
        </w:rPr>
        <w:t>理财产品</w:t>
      </w:r>
      <w:bookmarkEnd w:id="18"/>
      <w:r>
        <w:rPr>
          <w:rFonts w:ascii="Times New Roman" w:hAnsi="Times New Roman"/>
          <w:spacing w:val="10"/>
          <w:sz w:val="20"/>
          <w:szCs w:val="20"/>
        </w:rPr>
        <w:t>销售文件约定的其他权利</w:t>
      </w:r>
      <w:r>
        <w:rPr>
          <w:rFonts w:hint="eastAsia" w:ascii="Times New Roman" w:hAnsi="Times New Roman"/>
          <w:spacing w:val="10"/>
          <w:sz w:val="20"/>
          <w:szCs w:val="20"/>
        </w:rPr>
        <w:t>与义务</w:t>
      </w:r>
      <w:r>
        <w:rPr>
          <w:rFonts w:ascii="Times New Roman" w:hAnsi="Times New Roman"/>
          <w:spacing w:val="10"/>
          <w:sz w:val="20"/>
          <w:szCs w:val="20"/>
        </w:rPr>
        <w:t>。</w:t>
      </w:r>
    </w:p>
    <w:p>
      <w:pPr>
        <w:spacing w:line="240" w:lineRule="auto"/>
        <w:ind w:left="341"/>
        <w:rPr>
          <w:rFonts w:ascii="Times New Roman" w:hAnsi="Times New Roman"/>
          <w:b/>
          <w:bCs/>
          <w:spacing w:val="10"/>
          <w:sz w:val="20"/>
          <w:szCs w:val="20"/>
        </w:rPr>
      </w:pPr>
      <w:r>
        <w:rPr>
          <w:rFonts w:hint="eastAsia" w:ascii="Times New Roman" w:hAnsi="Times New Roman"/>
          <w:b/>
          <w:bCs/>
          <w:spacing w:val="10"/>
          <w:sz w:val="20"/>
          <w:szCs w:val="20"/>
        </w:rPr>
        <w:t>4</w:t>
      </w:r>
      <w:r>
        <w:rPr>
          <w:rFonts w:ascii="Times New Roman" w:hAnsi="Times New Roman"/>
          <w:b/>
          <w:bCs/>
          <w:spacing w:val="10"/>
          <w:sz w:val="20"/>
          <w:szCs w:val="20"/>
        </w:rPr>
        <w:t>.乙方的权利与义务：</w:t>
      </w:r>
    </w:p>
    <w:p>
      <w:pPr>
        <w:numPr>
          <w:ilvl w:val="0"/>
          <w:numId w:val="7"/>
        </w:numPr>
        <w:spacing w:line="240" w:lineRule="auto"/>
        <w:ind w:firstLine="340"/>
        <w:rPr>
          <w:rFonts w:ascii="Times New Roman" w:hAnsi="Times New Roman"/>
          <w:spacing w:val="10"/>
          <w:sz w:val="20"/>
          <w:szCs w:val="20"/>
        </w:rPr>
      </w:pPr>
      <w:r>
        <w:rPr>
          <w:rFonts w:ascii="Times New Roman" w:hAnsi="Times New Roman"/>
          <w:spacing w:val="10"/>
          <w:sz w:val="20"/>
          <w:szCs w:val="20"/>
        </w:rPr>
        <w:t>乙方应当保证其理财资金为合法拥有的自有资金，不存在涉嫌洗钱、恶意逃避税收征收管理等违法违规行为，保证可提供资金来源合法的证明文件</w:t>
      </w:r>
      <w:bookmarkStart w:id="19" w:name="_Hlk41902537"/>
      <w:r>
        <w:rPr>
          <w:rFonts w:ascii="Times New Roman" w:hAnsi="Times New Roman"/>
          <w:spacing w:val="10"/>
          <w:sz w:val="20"/>
          <w:szCs w:val="20"/>
        </w:rPr>
        <w:t>，配合甲方或</w:t>
      </w:r>
      <w:r>
        <w:rPr>
          <w:rFonts w:hint="eastAsia" w:ascii="Times New Roman" w:hAnsi="Times New Roman"/>
          <w:spacing w:val="10"/>
          <w:sz w:val="20"/>
          <w:szCs w:val="20"/>
        </w:rPr>
        <w:t>销售</w:t>
      </w:r>
      <w:r>
        <w:rPr>
          <w:rFonts w:ascii="Times New Roman" w:hAnsi="Times New Roman"/>
          <w:spacing w:val="10"/>
          <w:sz w:val="20"/>
          <w:szCs w:val="20"/>
        </w:rPr>
        <w:t>机构为识别合格投资者等目的进行的尽职调查。</w:t>
      </w:r>
    </w:p>
    <w:bookmarkEnd w:id="19"/>
    <w:p>
      <w:pPr>
        <w:numPr>
          <w:ilvl w:val="0"/>
          <w:numId w:val="7"/>
        </w:numPr>
        <w:spacing w:line="240" w:lineRule="auto"/>
        <w:ind w:firstLine="340"/>
        <w:rPr>
          <w:rFonts w:ascii="Times New Roman" w:hAnsi="Times New Roman"/>
          <w:spacing w:val="10"/>
          <w:sz w:val="20"/>
          <w:szCs w:val="20"/>
        </w:rPr>
      </w:pPr>
      <w:r>
        <w:rPr>
          <w:rFonts w:ascii="Times New Roman" w:hAnsi="Times New Roman"/>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pPr>
        <w:numPr>
          <w:ilvl w:val="0"/>
          <w:numId w:val="7"/>
        </w:numPr>
        <w:spacing w:line="240" w:lineRule="auto"/>
        <w:ind w:firstLine="340"/>
        <w:rPr>
          <w:rFonts w:ascii="Times New Roman" w:hAnsi="Times New Roman"/>
          <w:spacing w:val="10"/>
          <w:sz w:val="20"/>
          <w:szCs w:val="20"/>
        </w:rPr>
      </w:pPr>
      <w:r>
        <w:rPr>
          <w:rFonts w:ascii="Times New Roman" w:hAnsi="Times New Roman"/>
          <w:spacing w:val="10"/>
          <w:sz w:val="20"/>
          <w:szCs w:val="20"/>
        </w:rPr>
        <w:t>乙方保证具有完全民事行为能力，有完全适当的资格与能力订立并履行本协议。</w:t>
      </w:r>
    </w:p>
    <w:p>
      <w:pPr>
        <w:numPr>
          <w:ilvl w:val="0"/>
          <w:numId w:val="7"/>
        </w:numPr>
        <w:spacing w:line="240" w:lineRule="auto"/>
        <w:ind w:firstLine="340"/>
        <w:rPr>
          <w:rFonts w:ascii="Times New Roman" w:hAnsi="Times New Roman"/>
          <w:spacing w:val="10"/>
          <w:sz w:val="20"/>
          <w:szCs w:val="20"/>
        </w:rPr>
      </w:pPr>
      <w:r>
        <w:rPr>
          <w:rFonts w:ascii="Times New Roman" w:hAnsi="Times New Roman"/>
          <w:spacing w:val="10"/>
          <w:sz w:val="20"/>
          <w:szCs w:val="20"/>
        </w:rPr>
        <w:t>乙方应接受</w:t>
      </w:r>
      <w:r>
        <w:rPr>
          <w:rFonts w:hint="eastAsia" w:ascii="Times New Roman" w:hAnsi="Times New Roman"/>
          <w:spacing w:val="10"/>
          <w:sz w:val="20"/>
          <w:szCs w:val="20"/>
        </w:rPr>
        <w:t>销售机构</w:t>
      </w:r>
      <w:r>
        <w:rPr>
          <w:rFonts w:ascii="Times New Roman" w:hAnsi="Times New Roman"/>
          <w:spacing w:val="10"/>
          <w:sz w:val="20"/>
          <w:szCs w:val="20"/>
        </w:rPr>
        <w:t>对其投资风险承受能力进行的测评。（个人投资者适用）</w:t>
      </w:r>
    </w:p>
    <w:p>
      <w:pPr>
        <w:numPr>
          <w:ilvl w:val="0"/>
          <w:numId w:val="7"/>
        </w:numPr>
        <w:spacing w:line="240" w:lineRule="auto"/>
        <w:ind w:firstLine="340"/>
        <w:rPr>
          <w:rFonts w:ascii="Times New Roman" w:hAnsi="Times New Roman"/>
          <w:spacing w:val="10"/>
          <w:sz w:val="20"/>
          <w:szCs w:val="20"/>
        </w:rPr>
      </w:pPr>
      <w:r>
        <w:rPr>
          <w:rFonts w:ascii="Times New Roman" w:hAnsi="Times New Roman"/>
          <w:spacing w:val="10"/>
          <w:sz w:val="20"/>
          <w:szCs w:val="20"/>
        </w:rPr>
        <w:t>乙方是一家按照中国法律正式注册并有效存续的法人或其他组织，具有拥有和支配其财产以及继续进行其正在进行之业务的全部权力和授权。（机构投资者适用）</w:t>
      </w:r>
    </w:p>
    <w:p>
      <w:pPr>
        <w:numPr>
          <w:ilvl w:val="0"/>
          <w:numId w:val="7"/>
        </w:numPr>
        <w:spacing w:line="240" w:lineRule="auto"/>
        <w:ind w:firstLine="340"/>
        <w:rPr>
          <w:rFonts w:ascii="Times New Roman" w:hAnsi="Times New Roman"/>
          <w:spacing w:val="10"/>
          <w:sz w:val="20"/>
          <w:szCs w:val="20"/>
        </w:rPr>
      </w:pPr>
      <w:r>
        <w:rPr>
          <w:rFonts w:ascii="Times New Roman" w:hAnsi="Times New Roman"/>
          <w:spacing w:val="10"/>
          <w:sz w:val="20"/>
          <w:szCs w:val="20"/>
        </w:rPr>
        <w:t>乙方能够自行识别、判断和承担理财产品的相关风险；不存在法律法规、有权机关或主管机关禁止或限制购买理财产品的各种情形。乙方按其投资金额在本理财协议中享有相应的权利，承担相应的义务和风险。</w:t>
      </w:r>
    </w:p>
    <w:p>
      <w:pPr>
        <w:numPr>
          <w:ilvl w:val="0"/>
          <w:numId w:val="7"/>
        </w:numPr>
        <w:spacing w:line="240" w:lineRule="auto"/>
        <w:ind w:firstLine="340"/>
        <w:rPr>
          <w:rFonts w:ascii="Times New Roman" w:hAnsi="Times New Roman"/>
          <w:spacing w:val="10"/>
          <w:sz w:val="20"/>
          <w:szCs w:val="20"/>
        </w:rPr>
      </w:pPr>
      <w:r>
        <w:rPr>
          <w:rFonts w:ascii="Times New Roman" w:hAnsi="Times New Roman"/>
          <w:spacing w:val="10"/>
          <w:sz w:val="20"/>
          <w:szCs w:val="20"/>
        </w:rPr>
        <w:t>乙方保证，乙方系符合监管规定要求的合格投资者。（私募产品投资者适用）</w:t>
      </w:r>
    </w:p>
    <w:p>
      <w:pPr>
        <w:numPr>
          <w:ilvl w:val="0"/>
          <w:numId w:val="7"/>
        </w:numPr>
        <w:spacing w:line="240" w:lineRule="auto"/>
        <w:ind w:firstLine="340"/>
        <w:rPr>
          <w:rFonts w:ascii="Times New Roman" w:hAnsi="Times New Roman"/>
          <w:b/>
          <w:bCs/>
          <w:spacing w:val="10"/>
          <w:sz w:val="20"/>
          <w:szCs w:val="20"/>
        </w:rPr>
      </w:pPr>
      <w:r>
        <w:rPr>
          <w:rFonts w:ascii="Times New Roman" w:hAnsi="Times New Roman"/>
          <w:b/>
          <w:bCs/>
          <w:spacing w:val="10"/>
          <w:sz w:val="20"/>
          <w:szCs w:val="20"/>
        </w:rPr>
        <w:t>乙方保证其已知悉甲方并非乙方的投资顾问或其他顾问，乙方并未依赖于甲方和/或甲方的雇员、代理人或关联机构对其所作的任何陈述</w:t>
      </w:r>
      <w:r>
        <w:rPr>
          <w:rFonts w:hint="eastAsia" w:ascii="Times New Roman" w:hAnsi="Times New Roman"/>
          <w:b/>
          <w:bCs/>
          <w:spacing w:val="10"/>
          <w:sz w:val="20"/>
          <w:szCs w:val="20"/>
        </w:rPr>
        <w:t>（</w:t>
      </w:r>
      <w:r>
        <w:rPr>
          <w:rFonts w:ascii="Times New Roman" w:hAnsi="Times New Roman"/>
          <w:b/>
          <w:bCs/>
          <w:spacing w:val="10"/>
          <w:sz w:val="20"/>
          <w:szCs w:val="20"/>
        </w:rPr>
        <w:t>不论口头或书面</w:t>
      </w:r>
      <w:r>
        <w:rPr>
          <w:rFonts w:hint="eastAsia" w:ascii="Times New Roman" w:hAnsi="Times New Roman"/>
          <w:b/>
          <w:bCs/>
          <w:spacing w:val="10"/>
          <w:sz w:val="20"/>
          <w:szCs w:val="20"/>
        </w:rPr>
        <w:t>）</w:t>
      </w:r>
      <w:r>
        <w:rPr>
          <w:rFonts w:ascii="Times New Roman" w:hAnsi="Times New Roman"/>
          <w:b/>
          <w:bCs/>
          <w:spacing w:val="10"/>
          <w:sz w:val="20"/>
          <w:szCs w:val="20"/>
        </w:rPr>
        <w:t>而决定投资于理财产品。</w:t>
      </w:r>
    </w:p>
    <w:p>
      <w:pPr>
        <w:numPr>
          <w:ilvl w:val="0"/>
          <w:numId w:val="7"/>
        </w:numPr>
        <w:spacing w:line="240" w:lineRule="auto"/>
        <w:ind w:firstLine="340"/>
        <w:rPr>
          <w:rFonts w:ascii="Times New Roman" w:hAnsi="Times New Roman"/>
          <w:spacing w:val="10"/>
          <w:sz w:val="20"/>
          <w:szCs w:val="20"/>
        </w:rPr>
      </w:pPr>
      <w:r>
        <w:rPr>
          <w:rFonts w:ascii="Times New Roman" w:hAnsi="Times New Roman"/>
          <w:spacing w:val="10"/>
          <w:sz w:val="20"/>
          <w:szCs w:val="20"/>
        </w:rPr>
        <w:t>乙方保证签署和履行理财产品</w:t>
      </w:r>
      <w:r>
        <w:rPr>
          <w:rFonts w:hint="eastAsia" w:ascii="Times New Roman" w:hAnsi="Times New Roman"/>
          <w:spacing w:val="10"/>
          <w:sz w:val="20"/>
          <w:szCs w:val="20"/>
        </w:rPr>
        <w:t>销售文件</w:t>
      </w:r>
      <w:r>
        <w:rPr>
          <w:rFonts w:ascii="Times New Roman" w:hAnsi="Times New Roman"/>
          <w:spacing w:val="10"/>
          <w:sz w:val="20"/>
          <w:szCs w:val="20"/>
        </w:rPr>
        <w:t>系其真实意思表示，其有权利签署本协议和履行本协议所述的义务，并已为此采取一切所需的行为。</w:t>
      </w:r>
    </w:p>
    <w:p>
      <w:pPr>
        <w:numPr>
          <w:ilvl w:val="0"/>
          <w:numId w:val="7"/>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协议条款</w:t>
      </w:r>
      <w:bookmarkStart w:id="20" w:name="_Hlk41902655"/>
      <w:r>
        <w:rPr>
          <w:rFonts w:ascii="Times New Roman" w:hAnsi="Times New Roman"/>
          <w:spacing w:val="10"/>
          <w:sz w:val="20"/>
          <w:szCs w:val="20"/>
        </w:rPr>
        <w:t>或其他法律文件</w:t>
      </w:r>
      <w:bookmarkEnd w:id="20"/>
      <w:r>
        <w:rPr>
          <w:rFonts w:ascii="Times New Roman" w:hAnsi="Times New Roman"/>
          <w:spacing w:val="10"/>
          <w:sz w:val="20"/>
          <w:szCs w:val="20"/>
        </w:rPr>
        <w:t>。乙方应在签署本协议的同时按照对应期次的《理财产品说明书》的约定在授权指定账户存入足额的资金以确保账户余额大于或等于认购或申购金额。</w:t>
      </w:r>
    </w:p>
    <w:p>
      <w:pPr>
        <w:numPr>
          <w:ilvl w:val="0"/>
          <w:numId w:val="7"/>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乙方应按要求确定授权指定账户，用于本理财产品的理财资金划转及理财收益、到期清算分配资金的分配。</w:t>
      </w:r>
      <w:r>
        <w:rPr>
          <w:rFonts w:ascii="Times New Roman" w:hAnsi="Times New Roman"/>
          <w:b/>
          <w:spacing w:val="10"/>
          <w:sz w:val="20"/>
          <w:szCs w:val="22"/>
        </w:rPr>
        <w:t>本协议终止前，乙方不得将授权指定账户销户。若发生因乙方注销授权指定账户造成理财产品无法正常分配的，</w:t>
      </w:r>
      <w:r>
        <w:rPr>
          <w:rFonts w:hint="eastAsia" w:ascii="Times New Roman" w:hAnsi="Times New Roman"/>
          <w:b/>
          <w:spacing w:val="10"/>
          <w:sz w:val="20"/>
          <w:szCs w:val="22"/>
        </w:rPr>
        <w:t>乙方承担由此产生的损失</w:t>
      </w:r>
      <w:r>
        <w:rPr>
          <w:rFonts w:ascii="Times New Roman" w:hAnsi="Times New Roman"/>
          <w:b/>
          <w:spacing w:val="10"/>
          <w:sz w:val="20"/>
          <w:szCs w:val="22"/>
        </w:rPr>
        <w:t>。</w:t>
      </w:r>
    </w:p>
    <w:p>
      <w:pPr>
        <w:numPr>
          <w:ilvl w:val="0"/>
          <w:numId w:val="8"/>
        </w:numPr>
        <w:spacing w:line="240" w:lineRule="auto"/>
        <w:ind w:firstLine="340"/>
        <w:rPr>
          <w:rFonts w:ascii="Times New Roman" w:hAnsi="Times New Roman"/>
          <w:spacing w:val="10"/>
          <w:sz w:val="20"/>
          <w:szCs w:val="20"/>
        </w:rPr>
      </w:pPr>
      <w:r>
        <w:rPr>
          <w:rFonts w:ascii="Times New Roman" w:hAnsi="Times New Roman"/>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ascii="Times New Roman" w:hAnsi="Times New Roman"/>
          <w:b/>
          <w:spacing w:val="10"/>
          <w:sz w:val="20"/>
          <w:szCs w:val="22"/>
        </w:rPr>
        <w:t>或销售机构</w:t>
      </w:r>
      <w:r>
        <w:rPr>
          <w:rFonts w:ascii="Times New Roman" w:hAnsi="Times New Roman"/>
          <w:b/>
          <w:spacing w:val="10"/>
          <w:sz w:val="20"/>
          <w:szCs w:val="22"/>
        </w:rPr>
        <w:t>配合对乙方理财产品份额、理财账户、授权指定账户进行查封、冻结或扣划的，乙方应配合甲方</w:t>
      </w:r>
      <w:r>
        <w:rPr>
          <w:rFonts w:hint="eastAsia" w:ascii="Times New Roman" w:hAnsi="Times New Roman"/>
          <w:b/>
          <w:spacing w:val="10"/>
          <w:sz w:val="20"/>
          <w:szCs w:val="22"/>
        </w:rPr>
        <w:t>或销售机构</w:t>
      </w:r>
      <w:r>
        <w:rPr>
          <w:rFonts w:ascii="Times New Roman" w:hAnsi="Times New Roman"/>
          <w:b/>
          <w:spacing w:val="10"/>
          <w:sz w:val="20"/>
          <w:szCs w:val="22"/>
        </w:rPr>
        <w:t>根据实际情况采取的任何措施，包括但不限于全部或部分终止理财交易、停止向投资者支付投资本金及投资收益</w:t>
      </w:r>
      <w:r>
        <w:rPr>
          <w:rFonts w:hint="eastAsia" w:ascii="Times New Roman" w:hAnsi="Times New Roman"/>
          <w:b/>
          <w:spacing w:val="10"/>
          <w:sz w:val="20"/>
          <w:szCs w:val="22"/>
        </w:rPr>
        <w:t>，由此</w:t>
      </w:r>
      <w:r>
        <w:rPr>
          <w:rFonts w:ascii="Times New Roman" w:hAnsi="Times New Roman"/>
          <w:b/>
          <w:spacing w:val="10"/>
          <w:sz w:val="20"/>
          <w:szCs w:val="22"/>
        </w:rPr>
        <w:t>产生的一切损失及费用将由乙方承担，甲方</w:t>
      </w:r>
      <w:r>
        <w:rPr>
          <w:rFonts w:hint="eastAsia" w:ascii="Times New Roman" w:hAnsi="Times New Roman"/>
          <w:b/>
          <w:spacing w:val="10"/>
          <w:sz w:val="20"/>
          <w:szCs w:val="22"/>
        </w:rPr>
        <w:t>或销售机构</w:t>
      </w:r>
      <w:r>
        <w:rPr>
          <w:rFonts w:ascii="Times New Roman" w:hAnsi="Times New Roman"/>
          <w:b/>
          <w:spacing w:val="10"/>
          <w:sz w:val="20"/>
          <w:szCs w:val="22"/>
        </w:rPr>
        <w:t>有权将此损失及费用从乙方的授权指定账户、理财本金及收益中扣除。乙方无权要求甲方</w:t>
      </w:r>
      <w:r>
        <w:rPr>
          <w:rFonts w:hint="eastAsia" w:ascii="Times New Roman" w:hAnsi="Times New Roman"/>
          <w:b/>
          <w:spacing w:val="10"/>
          <w:sz w:val="20"/>
          <w:szCs w:val="22"/>
        </w:rPr>
        <w:t>或销售机构</w:t>
      </w:r>
      <w:r>
        <w:rPr>
          <w:rFonts w:ascii="Times New Roman" w:hAnsi="Times New Roman"/>
          <w:b/>
          <w:spacing w:val="10"/>
          <w:sz w:val="20"/>
          <w:szCs w:val="22"/>
        </w:rPr>
        <w:t>对上述后果承担任何责任</w:t>
      </w:r>
      <w:r>
        <w:rPr>
          <w:rFonts w:ascii="Times New Roman" w:hAnsi="Times New Roman"/>
          <w:spacing w:val="10"/>
          <w:sz w:val="20"/>
          <w:szCs w:val="20"/>
        </w:rPr>
        <w:t>。</w:t>
      </w:r>
    </w:p>
    <w:p>
      <w:pPr>
        <w:numPr>
          <w:ilvl w:val="0"/>
          <w:numId w:val="8"/>
        </w:numPr>
        <w:spacing w:line="240" w:lineRule="auto"/>
        <w:ind w:firstLine="442" w:firstLineChars="200"/>
        <w:rPr>
          <w:rFonts w:ascii="Times New Roman" w:hAnsi="Times New Roman"/>
          <w:b/>
          <w:bCs/>
          <w:spacing w:val="10"/>
          <w:sz w:val="20"/>
          <w:szCs w:val="20"/>
        </w:rPr>
      </w:pPr>
      <w:r>
        <w:rPr>
          <w:rFonts w:ascii="Times New Roman" w:hAnsi="Times New Roman"/>
          <w:b/>
          <w:bCs/>
          <w:spacing w:val="10"/>
          <w:sz w:val="20"/>
          <w:szCs w:val="20"/>
        </w:rPr>
        <w:t>乙方应确保其提供的所有资料真实、完整、合法、有效，如果有任何变更，乙方应及时通知甲方</w:t>
      </w:r>
      <w:bookmarkStart w:id="21" w:name="_Hlk41902715"/>
      <w:r>
        <w:rPr>
          <w:rFonts w:ascii="Times New Roman" w:hAnsi="Times New Roman"/>
          <w:b/>
          <w:bCs/>
          <w:spacing w:val="10"/>
          <w:sz w:val="20"/>
          <w:szCs w:val="20"/>
        </w:rPr>
        <w:t>或</w:t>
      </w:r>
      <w:r>
        <w:rPr>
          <w:rFonts w:hint="eastAsia" w:ascii="Times New Roman" w:hAnsi="Times New Roman"/>
          <w:b/>
          <w:bCs/>
          <w:spacing w:val="10"/>
          <w:sz w:val="20"/>
          <w:szCs w:val="20"/>
        </w:rPr>
        <w:t>销售</w:t>
      </w:r>
      <w:r>
        <w:rPr>
          <w:rFonts w:ascii="Times New Roman" w:hAnsi="Times New Roman"/>
          <w:b/>
          <w:bCs/>
          <w:spacing w:val="10"/>
          <w:sz w:val="20"/>
          <w:szCs w:val="20"/>
        </w:rPr>
        <w:t>机构</w:t>
      </w:r>
      <w:bookmarkEnd w:id="21"/>
      <w:r>
        <w:rPr>
          <w:rFonts w:ascii="Times New Roman" w:hAnsi="Times New Roman"/>
          <w:b/>
          <w:bCs/>
          <w:spacing w:val="10"/>
          <w:sz w:val="20"/>
          <w:szCs w:val="20"/>
        </w:rPr>
        <w:t>并办理变更手续。如因乙方未及时通知甲方或</w:t>
      </w:r>
      <w:r>
        <w:rPr>
          <w:rFonts w:hint="eastAsia" w:ascii="Times New Roman" w:hAnsi="Times New Roman"/>
          <w:b/>
          <w:bCs/>
          <w:spacing w:val="10"/>
          <w:sz w:val="20"/>
          <w:szCs w:val="20"/>
        </w:rPr>
        <w:t>销售</w:t>
      </w:r>
      <w:r>
        <w:rPr>
          <w:rFonts w:ascii="Times New Roman" w:hAnsi="Times New Roman"/>
          <w:b/>
          <w:bCs/>
          <w:spacing w:val="10"/>
          <w:sz w:val="20"/>
          <w:szCs w:val="20"/>
        </w:rPr>
        <w:t>机构并办理相应的变更手续，由此导致的一切后果由乙方承担。</w:t>
      </w:r>
    </w:p>
    <w:p>
      <w:pPr>
        <w:numPr>
          <w:ilvl w:val="0"/>
          <w:numId w:val="8"/>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乙方承诺，不利用本理财业务及本理财产品说明书项下理财产品从事违法活动。</w:t>
      </w:r>
    </w:p>
    <w:p>
      <w:pPr>
        <w:numPr>
          <w:ilvl w:val="0"/>
          <w:numId w:val="8"/>
        </w:numPr>
        <w:spacing w:line="240" w:lineRule="auto"/>
        <w:ind w:firstLine="442" w:firstLineChars="200"/>
        <w:rPr>
          <w:rFonts w:ascii="Times New Roman" w:hAnsi="Times New Roman"/>
          <w:spacing w:val="10"/>
          <w:sz w:val="20"/>
          <w:szCs w:val="20"/>
        </w:rPr>
      </w:pPr>
      <w:r>
        <w:rPr>
          <w:rFonts w:ascii="Times New Roman" w:hAnsi="Times New Roman"/>
          <w:b/>
          <w:bCs/>
          <w:spacing w:val="10"/>
          <w:sz w:val="20"/>
          <w:szCs w:val="20"/>
        </w:rPr>
        <w:t>乙方承诺，未经产品管理人同意，乙方不以本理财产品说明书或产品说明书项下的任何权利、利益、权益为乙方和任何第三人的债务设定担保或其他权益</w:t>
      </w:r>
      <w:r>
        <w:rPr>
          <w:rFonts w:ascii="Times New Roman" w:hAnsi="Times New Roman"/>
          <w:spacing w:val="10"/>
          <w:sz w:val="20"/>
          <w:szCs w:val="20"/>
        </w:rPr>
        <w:t>。</w:t>
      </w:r>
    </w:p>
    <w:p>
      <w:pPr>
        <w:numPr>
          <w:ilvl w:val="0"/>
          <w:numId w:val="8"/>
        </w:numPr>
        <w:spacing w:line="240" w:lineRule="auto"/>
        <w:ind w:firstLine="442" w:firstLineChars="200"/>
        <w:rPr>
          <w:rFonts w:ascii="Times New Roman" w:hAnsi="Times New Roman"/>
          <w:spacing w:val="10"/>
          <w:sz w:val="20"/>
          <w:szCs w:val="20"/>
        </w:rPr>
      </w:pPr>
      <w:r>
        <w:rPr>
          <w:rFonts w:ascii="Times New Roman" w:hAnsi="Times New Roman"/>
          <w:b/>
          <w:bCs/>
          <w:spacing w:val="10"/>
          <w:sz w:val="20"/>
          <w:szCs w:val="20"/>
        </w:rPr>
        <w:t>乙方承诺，未经产品管理人同意，乙方不向任何第三人转让、赠与本理财产品说明书或本理财产品说明书项下的任何权利、义务、利益、权益</w:t>
      </w:r>
      <w:r>
        <w:rPr>
          <w:rFonts w:ascii="Times New Roman" w:hAnsi="Times New Roman"/>
          <w:spacing w:val="10"/>
          <w:sz w:val="20"/>
          <w:szCs w:val="20"/>
        </w:rPr>
        <w:t>。</w:t>
      </w:r>
      <w:bookmarkStart w:id="22" w:name="_Hlk41902728"/>
    </w:p>
    <w:p>
      <w:pPr>
        <w:numPr>
          <w:ilvl w:val="0"/>
          <w:numId w:val="8"/>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乙方保证遵守国家反洗钱法律、法规及相关政策要求，不从事涉及洗钱、恐怖融资、逃税、逃废债务、套取现金等违法违规活动，积极配合甲方和</w:t>
      </w:r>
      <w:r>
        <w:rPr>
          <w:rFonts w:hint="eastAsia" w:ascii="Times New Roman" w:hAnsi="Times New Roman"/>
          <w:spacing w:val="10"/>
          <w:sz w:val="20"/>
          <w:szCs w:val="20"/>
        </w:rPr>
        <w:t>销售</w:t>
      </w:r>
      <w:r>
        <w:rPr>
          <w:rFonts w:ascii="Times New Roman" w:hAnsi="Times New Roman"/>
          <w:spacing w:val="10"/>
          <w:sz w:val="20"/>
          <w:szCs w:val="20"/>
        </w:rPr>
        <w:t>机构开展投资者身份识别、交易记录保存、投资者身份及交易背景尽职调查、大额和可疑交易报告等各项反洗钱</w:t>
      </w:r>
      <w:r>
        <w:rPr>
          <w:rFonts w:hint="eastAsia" w:ascii="Times New Roman" w:hAnsi="Times New Roman"/>
          <w:spacing w:val="10"/>
          <w:sz w:val="20"/>
          <w:szCs w:val="20"/>
        </w:rPr>
        <w:t>、反恐怖融资及非居民金融账户涉税信息尽职调查</w:t>
      </w:r>
      <w:r>
        <w:rPr>
          <w:rFonts w:ascii="Times New Roman" w:hAnsi="Times New Roman"/>
          <w:spacing w:val="10"/>
          <w:sz w:val="20"/>
          <w:szCs w:val="20"/>
        </w:rPr>
        <w:t>工作，并按甲方和</w:t>
      </w:r>
      <w:r>
        <w:rPr>
          <w:rFonts w:hint="eastAsia" w:ascii="Times New Roman" w:hAnsi="Times New Roman"/>
          <w:spacing w:val="10"/>
          <w:sz w:val="20"/>
          <w:szCs w:val="20"/>
        </w:rPr>
        <w:t>销售</w:t>
      </w:r>
      <w:r>
        <w:rPr>
          <w:rFonts w:ascii="Times New Roman" w:hAnsi="Times New Roman"/>
          <w:spacing w:val="10"/>
          <w:sz w:val="20"/>
          <w:szCs w:val="20"/>
        </w:rPr>
        <w:t>机构要求提供相关证明材料。</w:t>
      </w:r>
      <w:r>
        <w:rPr>
          <w:rFonts w:hint="eastAsia" w:ascii="Times New Roman" w:hAnsi="Times New Roman"/>
          <w:spacing w:val="10"/>
          <w:sz w:val="20"/>
          <w:szCs w:val="20"/>
        </w:rPr>
        <w:t>乙方</w:t>
      </w:r>
      <w:r>
        <w:rPr>
          <w:rFonts w:ascii="Times New Roman" w:hAnsi="Times New Roman"/>
          <w:spacing w:val="10"/>
          <w:sz w:val="20"/>
          <w:szCs w:val="20"/>
        </w:rPr>
        <w:t>保证其不属于联合国、欧盟或美国等制裁名单，及中国政府部门或有权机关发布的涉恐及反洗钱相关风险名单；不位于被联合国、欧盟或美国等制裁的国家和地区。</w:t>
      </w:r>
      <w:r>
        <w:rPr>
          <w:rFonts w:hint="eastAsia" w:ascii="Times New Roman" w:hAnsi="Times New Roman"/>
          <w:b/>
          <w:bCs/>
          <w:spacing w:val="10"/>
          <w:sz w:val="20"/>
          <w:szCs w:val="20"/>
        </w:rPr>
        <w:t>甲方或销售机构发现或有合理理由怀疑乙方或其资金存在洗钱、恐怖融资、逃税等嫌疑，甲方有权提前终止本协议，造成乙方损失的，甲方不承担责任。</w:t>
      </w:r>
    </w:p>
    <w:p>
      <w:pPr>
        <w:numPr>
          <w:ilvl w:val="0"/>
          <w:numId w:val="8"/>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乙方</w:t>
      </w:r>
      <w:r>
        <w:rPr>
          <w:rFonts w:hint="eastAsia" w:ascii="Times New Roman" w:hAnsi="Times New Roman"/>
          <w:spacing w:val="10"/>
          <w:sz w:val="20"/>
          <w:szCs w:val="20"/>
        </w:rPr>
        <w:t>已充分知悉对应期次理财产品风险等级</w:t>
      </w:r>
      <w:r>
        <w:rPr>
          <w:rFonts w:hint="eastAsia" w:ascii="Times New Roman" w:hAnsi="Times New Roman"/>
          <w:b/>
          <w:bCs/>
          <w:spacing w:val="10"/>
          <w:sz w:val="20"/>
          <w:szCs w:val="20"/>
        </w:rPr>
        <w:t>（该产品通过代理销售机构渠道销售的，理财产品评级应当以代理销售机构最终披露的评级结果为准）</w:t>
      </w:r>
      <w:r>
        <w:rPr>
          <w:rFonts w:hint="eastAsia" w:ascii="Times New Roman" w:hAnsi="Times New Roman"/>
          <w:spacing w:val="10"/>
          <w:sz w:val="20"/>
          <w:szCs w:val="20"/>
        </w:rPr>
        <w:t>，</w:t>
      </w:r>
      <w:r>
        <w:rPr>
          <w:rFonts w:ascii="Times New Roman" w:hAnsi="Times New Roman"/>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pPr>
        <w:numPr>
          <w:ilvl w:val="0"/>
          <w:numId w:val="8"/>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乙方对因购买、持有本理财产品而知悉的甲方</w:t>
      </w:r>
      <w:r>
        <w:rPr>
          <w:rFonts w:hint="eastAsia" w:ascii="Times New Roman" w:hAnsi="Times New Roman"/>
          <w:spacing w:val="10"/>
          <w:sz w:val="20"/>
          <w:szCs w:val="20"/>
        </w:rPr>
        <w:t>及销售机构</w:t>
      </w:r>
      <w:r>
        <w:rPr>
          <w:rFonts w:ascii="Times New Roman" w:hAnsi="Times New Roman"/>
          <w:spacing w:val="10"/>
          <w:sz w:val="20"/>
          <w:szCs w:val="20"/>
        </w:rPr>
        <w:t>保密信息承担保密义务，乙方承诺不以任何方式向任何第三方披露甲方的保密信息，法律法规另有</w:t>
      </w:r>
      <w:r>
        <w:rPr>
          <w:rFonts w:hint="eastAsia" w:ascii="Times New Roman" w:hAnsi="Times New Roman"/>
          <w:spacing w:val="10"/>
          <w:sz w:val="20"/>
          <w:szCs w:val="20"/>
        </w:rPr>
        <w:t>规</w:t>
      </w:r>
      <w:r>
        <w:rPr>
          <w:rFonts w:ascii="Times New Roman" w:hAnsi="Times New Roman"/>
          <w:spacing w:val="10"/>
          <w:sz w:val="20"/>
          <w:szCs w:val="20"/>
        </w:rPr>
        <w:t>定的除外。</w:t>
      </w:r>
    </w:p>
    <w:p>
      <w:pPr>
        <w:numPr>
          <w:ilvl w:val="0"/>
          <w:numId w:val="8"/>
        </w:numPr>
        <w:spacing w:line="240" w:lineRule="auto"/>
        <w:ind w:firstLine="442" w:firstLineChars="200"/>
        <w:rPr>
          <w:rFonts w:ascii="Times New Roman" w:hAnsi="Times New Roman"/>
          <w:b/>
          <w:bCs/>
          <w:spacing w:val="10"/>
          <w:sz w:val="20"/>
          <w:szCs w:val="20"/>
        </w:rPr>
      </w:pPr>
      <w:r>
        <w:rPr>
          <w:rFonts w:ascii="Times New Roman" w:hAnsi="Times New Roman"/>
          <w:b/>
          <w:bCs/>
          <w:color w:val="3D3D3D"/>
          <w:spacing w:val="10"/>
          <w:sz w:val="20"/>
          <w:szCs w:val="20"/>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pPr>
        <w:numPr>
          <w:ilvl w:val="0"/>
          <w:numId w:val="8"/>
        </w:numPr>
        <w:spacing w:line="240" w:lineRule="auto"/>
        <w:ind w:firstLine="442" w:firstLineChars="200"/>
        <w:rPr>
          <w:rFonts w:hint="eastAsia" w:ascii="Times New Roman" w:hAnsi="Times New Roman"/>
          <w:b/>
          <w:bCs/>
          <w:spacing w:val="10"/>
          <w:sz w:val="20"/>
          <w:szCs w:val="20"/>
        </w:rPr>
      </w:pPr>
      <w:r>
        <w:rPr>
          <w:rFonts w:hint="eastAsia" w:ascii="Times New Roman" w:hAnsi="Times New Roman"/>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numPr>
          <w:ilvl w:val="0"/>
          <w:numId w:val="8"/>
        </w:numPr>
        <w:spacing w:line="240" w:lineRule="auto"/>
        <w:ind w:firstLine="440" w:firstLineChars="200"/>
        <w:rPr>
          <w:rFonts w:ascii="Times New Roman" w:hAnsi="Times New Roman"/>
          <w:spacing w:val="10"/>
          <w:sz w:val="20"/>
          <w:szCs w:val="20"/>
        </w:rPr>
      </w:pPr>
      <w:r>
        <w:rPr>
          <w:rFonts w:hint="eastAsia" w:ascii="Times New Roman" w:hAnsi="Times New Roman"/>
          <w:spacing w:val="10"/>
          <w:sz w:val="20"/>
          <w:szCs w:val="20"/>
        </w:rPr>
        <w:t>法律法规规定及</w:t>
      </w:r>
      <w:r>
        <w:rPr>
          <w:rFonts w:ascii="Times New Roman" w:hAnsi="Times New Roman"/>
          <w:spacing w:val="10"/>
          <w:sz w:val="20"/>
          <w:szCs w:val="20"/>
        </w:rPr>
        <w:t>理财产品销售文件中约定的其他权利与义务。</w:t>
      </w:r>
      <w:bookmarkEnd w:id="22"/>
    </w:p>
    <w:p>
      <w:pPr>
        <w:spacing w:line="240" w:lineRule="auto"/>
        <w:ind w:firstLine="442" w:firstLineChars="200"/>
        <w:rPr>
          <w:rFonts w:ascii="Times New Roman" w:hAnsi="Times New Roman"/>
          <w:spacing w:val="10"/>
          <w:sz w:val="20"/>
          <w:szCs w:val="20"/>
        </w:rPr>
      </w:pPr>
      <w:r>
        <w:rPr>
          <w:rFonts w:hint="eastAsia" w:ascii="Times New Roman" w:hAnsi="Times New Roman"/>
          <w:b/>
          <w:bCs/>
          <w:spacing w:val="10"/>
          <w:sz w:val="20"/>
          <w:szCs w:val="20"/>
        </w:rPr>
        <w:t>5</w:t>
      </w:r>
      <w:r>
        <w:rPr>
          <w:rFonts w:ascii="Times New Roman" w:hAnsi="Times New Roman"/>
          <w:b/>
          <w:bCs/>
          <w:spacing w:val="10"/>
          <w:sz w:val="20"/>
          <w:szCs w:val="20"/>
        </w:rPr>
        <w:t>.产品认购或申购、赎回</w:t>
      </w:r>
    </w:p>
    <w:p>
      <w:pPr>
        <w:numPr>
          <w:ilvl w:val="0"/>
          <w:numId w:val="9"/>
        </w:numPr>
        <w:spacing w:line="240" w:lineRule="auto"/>
        <w:ind w:firstLine="340"/>
        <w:rPr>
          <w:rFonts w:ascii="Times New Roman" w:hAnsi="Times New Roman"/>
          <w:spacing w:val="10"/>
          <w:sz w:val="20"/>
          <w:szCs w:val="20"/>
        </w:rPr>
      </w:pPr>
      <w:r>
        <w:rPr>
          <w:rFonts w:ascii="Times New Roman" w:hAnsi="Times New Roman"/>
          <w:spacing w:val="10"/>
          <w:sz w:val="20"/>
          <w:szCs w:val="20"/>
        </w:rPr>
        <w:t>理财产品认购或申购：参照《投资者权益须知》约定。</w:t>
      </w:r>
    </w:p>
    <w:p>
      <w:pPr>
        <w:numPr>
          <w:ilvl w:val="0"/>
          <w:numId w:val="9"/>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理财产品认购或申购撤销申请：乙方在理财产品募集期或开放期或投资冷静期（私募产品适用）内，可以撤销理财产品相应的认购或申购申请。</w:t>
      </w:r>
    </w:p>
    <w:p>
      <w:pPr>
        <w:numPr>
          <w:ilvl w:val="0"/>
          <w:numId w:val="9"/>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ascii="Times New Roman" w:hAnsi="Times New Roman"/>
          <w:spacing w:val="10"/>
          <w:sz w:val="20"/>
          <w:szCs w:val="20"/>
        </w:rPr>
        <w:t>信息披露</w:t>
      </w:r>
      <w:r>
        <w:rPr>
          <w:rFonts w:ascii="Times New Roman" w:hAnsi="Times New Roman"/>
          <w:spacing w:val="10"/>
          <w:sz w:val="20"/>
          <w:szCs w:val="20"/>
        </w:rPr>
        <w:t>，</w:t>
      </w:r>
      <w:r>
        <w:rPr>
          <w:rFonts w:hint="eastAsia" w:ascii="Times New Roman" w:hAnsi="Times New Roman"/>
          <w:spacing w:val="10"/>
          <w:sz w:val="20"/>
          <w:szCs w:val="20"/>
        </w:rPr>
        <w:t>销售机构</w:t>
      </w:r>
      <w:r>
        <w:rPr>
          <w:rFonts w:ascii="Times New Roman" w:hAnsi="Times New Roman"/>
          <w:spacing w:val="10"/>
          <w:sz w:val="20"/>
          <w:szCs w:val="20"/>
        </w:rPr>
        <w:t>及时解除对乙方授权指定账户中认购或申购资金的冻结</w:t>
      </w:r>
      <w:r>
        <w:rPr>
          <w:rFonts w:hint="eastAsia" w:ascii="Times New Roman" w:hAnsi="Times New Roman"/>
          <w:spacing w:val="10"/>
          <w:sz w:val="20"/>
          <w:szCs w:val="20"/>
        </w:rPr>
        <w:t>或返还认购或申购资金</w:t>
      </w:r>
      <w:r>
        <w:rPr>
          <w:rFonts w:ascii="Times New Roman" w:hAnsi="Times New Roman"/>
          <w:spacing w:val="10"/>
          <w:sz w:val="20"/>
          <w:szCs w:val="20"/>
        </w:rPr>
        <w:t>。</w:t>
      </w:r>
    </w:p>
    <w:p>
      <w:pPr>
        <w:numPr>
          <w:ilvl w:val="0"/>
          <w:numId w:val="9"/>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理财产品投资品种、投资起点金额、收益支付方式：参照对应期次的《理财产品说明书》中的约定。</w:t>
      </w:r>
    </w:p>
    <w:p>
      <w:pPr>
        <w:numPr>
          <w:ilvl w:val="0"/>
          <w:numId w:val="9"/>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理财产品赎回</w:t>
      </w:r>
      <w:bookmarkStart w:id="23" w:name="_Hlk41902781"/>
      <w:r>
        <w:rPr>
          <w:rFonts w:ascii="Times New Roman" w:hAnsi="Times New Roman"/>
          <w:spacing w:val="10"/>
          <w:sz w:val="20"/>
          <w:szCs w:val="20"/>
        </w:rPr>
        <w:t>资金支付</w:t>
      </w:r>
      <w:bookmarkEnd w:id="23"/>
      <w:r>
        <w:rPr>
          <w:rFonts w:ascii="Times New Roman" w:hAnsi="Times New Roman"/>
          <w:spacing w:val="10"/>
          <w:sz w:val="20"/>
          <w:szCs w:val="20"/>
        </w:rPr>
        <w:t>：在正常情况下，甲方将按照</w:t>
      </w:r>
      <w:r>
        <w:rPr>
          <w:rFonts w:hint="eastAsia" w:ascii="Times New Roman" w:hAnsi="Times New Roman"/>
          <w:spacing w:val="10"/>
          <w:sz w:val="20"/>
          <w:szCs w:val="20"/>
        </w:rPr>
        <w:t>本协议及</w:t>
      </w:r>
      <w:r>
        <w:rPr>
          <w:rFonts w:ascii="Times New Roman" w:hAnsi="Times New Roman"/>
          <w:spacing w:val="10"/>
          <w:sz w:val="20"/>
          <w:szCs w:val="20"/>
        </w:rPr>
        <w:t>对应期次的《理财产品说明书》</w:t>
      </w:r>
      <w:r>
        <w:rPr>
          <w:rFonts w:hint="eastAsia" w:ascii="Times New Roman" w:hAnsi="Times New Roman"/>
          <w:spacing w:val="10"/>
          <w:sz w:val="20"/>
          <w:szCs w:val="20"/>
        </w:rPr>
        <w:t>的</w:t>
      </w:r>
      <w:r>
        <w:rPr>
          <w:rFonts w:ascii="Times New Roman" w:hAnsi="Times New Roman"/>
          <w:spacing w:val="10"/>
          <w:sz w:val="20"/>
          <w:szCs w:val="20"/>
        </w:rPr>
        <w:t>相关约定</w:t>
      </w:r>
      <w:bookmarkStart w:id="24" w:name="_Hlk41902803"/>
      <w:r>
        <w:rPr>
          <w:rFonts w:hint="eastAsia" w:ascii="Times New Roman" w:hAnsi="Times New Roman"/>
          <w:spacing w:val="10"/>
          <w:sz w:val="20"/>
          <w:szCs w:val="20"/>
        </w:rPr>
        <w:t>进行</w:t>
      </w:r>
      <w:r>
        <w:rPr>
          <w:rFonts w:ascii="Times New Roman" w:hAnsi="Times New Roman"/>
          <w:spacing w:val="10"/>
          <w:sz w:val="20"/>
          <w:szCs w:val="20"/>
        </w:rPr>
        <w:t>赎回资金</w:t>
      </w:r>
      <w:bookmarkEnd w:id="24"/>
      <w:r>
        <w:rPr>
          <w:rFonts w:ascii="Times New Roman" w:hAnsi="Times New Roman"/>
          <w:spacing w:val="10"/>
          <w:sz w:val="20"/>
          <w:szCs w:val="20"/>
        </w:rPr>
        <w:t>划付。</w:t>
      </w:r>
      <w:r>
        <w:rPr>
          <w:rFonts w:ascii="Times New Roman" w:hAnsi="Times New Roman"/>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pPr>
        <w:spacing w:line="240" w:lineRule="auto"/>
        <w:ind w:firstLine="442" w:firstLineChars="200"/>
        <w:rPr>
          <w:rFonts w:ascii="Times New Roman" w:hAnsi="Times New Roman"/>
          <w:b/>
          <w:bCs/>
          <w:spacing w:val="10"/>
          <w:sz w:val="20"/>
          <w:szCs w:val="20"/>
        </w:rPr>
      </w:pPr>
      <w:r>
        <w:rPr>
          <w:rFonts w:hint="eastAsia" w:ascii="Times New Roman" w:hAnsi="Times New Roman"/>
          <w:b/>
          <w:bCs/>
          <w:spacing w:val="10"/>
          <w:sz w:val="20"/>
          <w:szCs w:val="20"/>
        </w:rPr>
        <w:t>6</w:t>
      </w:r>
      <w:r>
        <w:rPr>
          <w:rFonts w:ascii="Times New Roman" w:hAnsi="Times New Roman"/>
          <w:b/>
          <w:bCs/>
          <w:spacing w:val="10"/>
          <w:sz w:val="20"/>
          <w:szCs w:val="20"/>
        </w:rPr>
        <w:t>.</w:t>
      </w:r>
      <w:r>
        <w:rPr>
          <w:rFonts w:hint="eastAsia" w:ascii="Times New Roman" w:hAnsi="Times New Roman"/>
          <w:b/>
          <w:bCs/>
          <w:spacing w:val="10"/>
          <w:sz w:val="20"/>
          <w:szCs w:val="20"/>
        </w:rPr>
        <w:t>产品的终止</w:t>
      </w:r>
    </w:p>
    <w:p>
      <w:pPr>
        <w:spacing w:line="240" w:lineRule="auto"/>
        <w:ind w:firstLine="400" w:firstLineChars="200"/>
        <w:rPr>
          <w:color w:val="3D3D3D"/>
          <w:kern w:val="0"/>
          <w:sz w:val="20"/>
          <w:szCs w:val="20"/>
        </w:rPr>
      </w:pPr>
      <w:r>
        <w:rPr>
          <w:color w:val="3D3D3D"/>
          <w:kern w:val="0"/>
          <w:sz w:val="20"/>
          <w:szCs w:val="20"/>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20"/>
          <w:szCs w:val="20"/>
        </w:rPr>
        <w:t>。</w:t>
      </w:r>
    </w:p>
    <w:p>
      <w:pPr>
        <w:spacing w:line="240" w:lineRule="auto"/>
        <w:ind w:firstLine="442" w:firstLineChars="200"/>
        <w:rPr>
          <w:rFonts w:ascii="Times New Roman" w:hAnsi="Times New Roman"/>
          <w:b/>
          <w:bCs/>
          <w:spacing w:val="10"/>
          <w:sz w:val="20"/>
          <w:szCs w:val="20"/>
        </w:rPr>
      </w:pPr>
      <w:r>
        <w:rPr>
          <w:rFonts w:hint="eastAsia" w:ascii="Times New Roman" w:hAnsi="Times New Roman"/>
          <w:b/>
          <w:bCs/>
          <w:spacing w:val="10"/>
          <w:sz w:val="20"/>
          <w:szCs w:val="20"/>
        </w:rPr>
        <w:t>（1）理财</w:t>
      </w:r>
      <w:r>
        <w:rPr>
          <w:rFonts w:ascii="Times New Roman" w:hAnsi="Times New Roman"/>
          <w:b/>
          <w:bCs/>
          <w:spacing w:val="10"/>
          <w:sz w:val="20"/>
          <w:szCs w:val="20"/>
        </w:rPr>
        <w:t>产品提前终止</w:t>
      </w:r>
    </w:p>
    <w:p>
      <w:pPr>
        <w:spacing w:line="240" w:lineRule="auto"/>
        <w:ind w:firstLine="440" w:firstLineChars="200"/>
        <w:rPr>
          <w:rFonts w:ascii="Times New Roman" w:hAnsi="Times New Roman"/>
          <w:bCs/>
          <w:spacing w:val="10"/>
          <w:sz w:val="20"/>
          <w:szCs w:val="20"/>
        </w:rPr>
      </w:pPr>
      <w:r>
        <w:rPr>
          <w:rFonts w:ascii="Times New Roman" w:hAnsi="Times New Roman"/>
          <w:bCs/>
          <w:spacing w:val="10"/>
          <w:sz w:val="20"/>
          <w:szCs w:val="20"/>
        </w:rPr>
        <w:t>在理财产品存续期内，如发生以下事项时，南银理财可对本理财产品行使全部提前终止权：</w:t>
      </w:r>
    </w:p>
    <w:p>
      <w:pPr>
        <w:pStyle w:val="18"/>
        <w:numPr>
          <w:ilvl w:val="0"/>
          <w:numId w:val="10"/>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如因本理财产品资产运作模式、投资资产等与法律法规、规章的规定或者监管部门的要求等存在冲突导致理财产品必须提前终止的；</w:t>
      </w:r>
    </w:p>
    <w:p>
      <w:pPr>
        <w:pStyle w:val="18"/>
        <w:numPr>
          <w:ilvl w:val="0"/>
          <w:numId w:val="10"/>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国家有关法律、法规、规章、监管规定、政策的改变、紧急措施的出台、理财市场环境发生重大变化等导致理财产品必须提前终止的；</w:t>
      </w:r>
    </w:p>
    <w:p>
      <w:pPr>
        <w:pStyle w:val="18"/>
        <w:numPr>
          <w:ilvl w:val="0"/>
          <w:numId w:val="10"/>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因不可抗力因素导致本理财产品必须提前终止的；</w:t>
      </w:r>
    </w:p>
    <w:p>
      <w:pPr>
        <w:pStyle w:val="18"/>
        <w:numPr>
          <w:ilvl w:val="0"/>
          <w:numId w:val="10"/>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遇有市场出现剧烈波动、异常风险事件等情形导致理财产品收益出现大幅波动或严重影响理财产品的资产安全；</w:t>
      </w:r>
    </w:p>
    <w:p>
      <w:pPr>
        <w:pStyle w:val="18"/>
        <w:numPr>
          <w:ilvl w:val="0"/>
          <w:numId w:val="10"/>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pPr>
        <w:pStyle w:val="18"/>
        <w:numPr>
          <w:ilvl w:val="0"/>
          <w:numId w:val="10"/>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因管理人解散、破产、撤销、被取消业务资格等原因无法继续履行相应职责导致产品无法继续运作；</w:t>
      </w:r>
    </w:p>
    <w:p>
      <w:pPr>
        <w:pStyle w:val="18"/>
        <w:numPr>
          <w:ilvl w:val="0"/>
          <w:numId w:val="10"/>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理财产品所投资资产部分或全部提前偿付；</w:t>
      </w:r>
    </w:p>
    <w:p>
      <w:pPr>
        <w:pStyle w:val="18"/>
        <w:numPr>
          <w:ilvl w:val="0"/>
          <w:numId w:val="10"/>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提前终止产品比维持产品运作更有利于保护产品持有人的权益；</w:t>
      </w:r>
    </w:p>
    <w:p>
      <w:pPr>
        <w:pStyle w:val="18"/>
        <w:numPr>
          <w:ilvl w:val="0"/>
          <w:numId w:val="10"/>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南银理财合理认为应该提前终止本理财产品的其他情况。</w:t>
      </w:r>
    </w:p>
    <w:p>
      <w:pPr>
        <w:pStyle w:val="18"/>
        <w:spacing w:line="240" w:lineRule="auto"/>
        <w:ind w:left="340" w:firstLine="0" w:firstLineChars="0"/>
        <w:rPr>
          <w:rFonts w:ascii="Times New Roman" w:hAnsi="Times New Roman"/>
          <w:bCs/>
          <w:spacing w:val="10"/>
          <w:sz w:val="20"/>
          <w:szCs w:val="20"/>
        </w:rPr>
      </w:pPr>
      <w:r>
        <w:rPr>
          <w:rFonts w:ascii="Times New Roman" w:hAnsi="Times New Roman"/>
          <w:bCs/>
          <w:spacing w:val="10"/>
          <w:sz w:val="20"/>
          <w:szCs w:val="20"/>
        </w:rPr>
        <w:t>南银理财</w:t>
      </w:r>
      <w:r>
        <w:rPr>
          <w:rFonts w:hint="eastAsia" w:ascii="Times New Roman" w:hAnsi="Times New Roman"/>
          <w:bCs/>
          <w:spacing w:val="10"/>
          <w:sz w:val="20"/>
          <w:szCs w:val="20"/>
        </w:rPr>
        <w:t>如</w:t>
      </w:r>
      <w:r>
        <w:rPr>
          <w:rFonts w:ascii="Times New Roman" w:hAnsi="Times New Roman"/>
          <w:bCs/>
          <w:spacing w:val="10"/>
          <w:sz w:val="20"/>
          <w:szCs w:val="20"/>
        </w:rPr>
        <w:t>提前终止本理财产品，应根据本理财产品</w:t>
      </w:r>
      <w:r>
        <w:rPr>
          <w:rFonts w:hint="eastAsia" w:ascii="Times New Roman" w:hAnsi="Times New Roman"/>
          <w:bCs/>
          <w:spacing w:val="10"/>
          <w:sz w:val="20"/>
          <w:szCs w:val="20"/>
        </w:rPr>
        <w:t>销售文件约定的方式进行</w:t>
      </w:r>
      <w:r>
        <w:rPr>
          <w:rFonts w:ascii="Times New Roman" w:hAnsi="Times New Roman"/>
          <w:bCs/>
          <w:spacing w:val="10"/>
          <w:sz w:val="20"/>
          <w:szCs w:val="20"/>
        </w:rPr>
        <w:t>信息披露</w:t>
      </w:r>
      <w:r>
        <w:rPr>
          <w:rFonts w:hint="eastAsia" w:ascii="Times New Roman" w:hAnsi="Times New Roman"/>
          <w:bCs/>
          <w:spacing w:val="10"/>
          <w:sz w:val="20"/>
          <w:szCs w:val="20"/>
        </w:rPr>
        <w:t>。</w:t>
      </w:r>
    </w:p>
    <w:p>
      <w:pPr>
        <w:spacing w:line="240" w:lineRule="auto"/>
        <w:ind w:firstLine="442" w:firstLineChars="200"/>
        <w:rPr>
          <w:rFonts w:ascii="Times New Roman" w:hAnsi="Times New Roman"/>
          <w:b/>
          <w:bCs/>
          <w:spacing w:val="10"/>
          <w:sz w:val="20"/>
          <w:szCs w:val="20"/>
        </w:rPr>
      </w:pPr>
      <w:r>
        <w:rPr>
          <w:rFonts w:hint="eastAsia" w:ascii="Times New Roman" w:hAnsi="Times New Roman"/>
          <w:b/>
          <w:bCs/>
          <w:spacing w:val="10"/>
          <w:sz w:val="20"/>
          <w:szCs w:val="20"/>
        </w:rPr>
        <w:t>（2）</w:t>
      </w:r>
      <w:r>
        <w:rPr>
          <w:rFonts w:ascii="Times New Roman" w:hAnsi="Times New Roman"/>
          <w:b/>
          <w:bCs/>
          <w:spacing w:val="10"/>
          <w:sz w:val="20"/>
          <w:szCs w:val="20"/>
        </w:rPr>
        <w:t>理财产品的延期</w:t>
      </w:r>
      <w:r>
        <w:rPr>
          <w:rFonts w:hint="eastAsia" w:ascii="Times New Roman" w:hAnsi="Times New Roman"/>
          <w:b/>
          <w:bCs/>
          <w:spacing w:val="10"/>
          <w:sz w:val="20"/>
          <w:szCs w:val="20"/>
        </w:rPr>
        <w:t>终止</w:t>
      </w:r>
    </w:p>
    <w:p>
      <w:pPr>
        <w:spacing w:line="240" w:lineRule="auto"/>
        <w:ind w:left="340"/>
        <w:rPr>
          <w:rFonts w:ascii="Times New Roman" w:hAnsi="Times New Roman"/>
          <w:bCs/>
          <w:spacing w:val="10"/>
          <w:sz w:val="20"/>
          <w:szCs w:val="20"/>
        </w:rPr>
      </w:pPr>
      <w:r>
        <w:rPr>
          <w:rFonts w:ascii="Times New Roman" w:hAnsi="Times New Roman"/>
          <w:bCs/>
          <w:spacing w:val="10"/>
          <w:sz w:val="20"/>
          <w:szCs w:val="20"/>
        </w:rPr>
        <w:t>在理财产品存续期内，如发生以下事项时，南银理财有权推迟本理财产品</w:t>
      </w:r>
      <w:r>
        <w:rPr>
          <w:rFonts w:hint="eastAsia" w:ascii="Times New Roman" w:hAnsi="Times New Roman"/>
          <w:bCs/>
          <w:spacing w:val="10"/>
          <w:sz w:val="20"/>
          <w:szCs w:val="20"/>
        </w:rPr>
        <w:t>终止</w:t>
      </w:r>
      <w:r>
        <w:rPr>
          <w:rFonts w:ascii="Times New Roman" w:hAnsi="Times New Roman"/>
          <w:bCs/>
          <w:spacing w:val="10"/>
          <w:sz w:val="20"/>
          <w:szCs w:val="20"/>
        </w:rPr>
        <w:t>日：</w:t>
      </w:r>
    </w:p>
    <w:p>
      <w:pPr>
        <w:pStyle w:val="18"/>
        <w:numPr>
          <w:ilvl w:val="0"/>
          <w:numId w:val="11"/>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产品到期日遇非工作日，产品到期日顺延至下一工作日；</w:t>
      </w:r>
    </w:p>
    <w:p>
      <w:pPr>
        <w:pStyle w:val="18"/>
        <w:numPr>
          <w:ilvl w:val="0"/>
          <w:numId w:val="11"/>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因市场成交量不足、资产限制赎回、暂停交易、缺乏意愿交易对手等原因，导致产品所投资的资产无法及时全部变现；</w:t>
      </w:r>
    </w:p>
    <w:p>
      <w:pPr>
        <w:pStyle w:val="18"/>
        <w:numPr>
          <w:ilvl w:val="0"/>
          <w:numId w:val="11"/>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因资金在途等原因，导致未能及时收回资金；</w:t>
      </w:r>
    </w:p>
    <w:p>
      <w:pPr>
        <w:pStyle w:val="18"/>
        <w:numPr>
          <w:ilvl w:val="0"/>
          <w:numId w:val="11"/>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因不可抗力等原因，导致管理人无法及时收回资金及/或进行理财资金清算分配的；</w:t>
      </w:r>
    </w:p>
    <w:p>
      <w:pPr>
        <w:pStyle w:val="18"/>
        <w:numPr>
          <w:ilvl w:val="0"/>
          <w:numId w:val="11"/>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理财产品资产涉及诉讼（或仲裁），且预计诉讼（或仲裁）及执行程序于理财产品名义到期日尚未终结；</w:t>
      </w:r>
    </w:p>
    <w:p>
      <w:pPr>
        <w:pStyle w:val="18"/>
        <w:numPr>
          <w:ilvl w:val="0"/>
          <w:numId w:val="11"/>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其他管理人认为需要延期的情形；</w:t>
      </w:r>
    </w:p>
    <w:p>
      <w:pPr>
        <w:pStyle w:val="18"/>
        <w:numPr>
          <w:ilvl w:val="0"/>
          <w:numId w:val="11"/>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法律规定的及本理财产品</w:t>
      </w:r>
      <w:r>
        <w:rPr>
          <w:rFonts w:hint="eastAsia" w:ascii="Times New Roman" w:hAnsi="Times New Roman"/>
          <w:bCs/>
          <w:spacing w:val="10"/>
          <w:sz w:val="20"/>
          <w:szCs w:val="20"/>
        </w:rPr>
        <w:t>销售文件</w:t>
      </w:r>
      <w:r>
        <w:rPr>
          <w:rFonts w:ascii="Times New Roman" w:hAnsi="Times New Roman"/>
          <w:bCs/>
          <w:spacing w:val="10"/>
          <w:sz w:val="20"/>
          <w:szCs w:val="20"/>
        </w:rPr>
        <w:t>约定的其他情形。</w:t>
      </w:r>
    </w:p>
    <w:p>
      <w:pPr>
        <w:spacing w:line="240" w:lineRule="auto"/>
        <w:ind w:left="340"/>
        <w:rPr>
          <w:rFonts w:ascii="Times New Roman" w:hAnsi="Times New Roman"/>
          <w:bCs/>
          <w:spacing w:val="10"/>
          <w:sz w:val="20"/>
          <w:szCs w:val="20"/>
        </w:rPr>
      </w:pPr>
      <w:r>
        <w:rPr>
          <w:rFonts w:hint="eastAsia" w:ascii="Times New Roman" w:hAnsi="Times New Roman"/>
          <w:spacing w:val="10"/>
          <w:sz w:val="20"/>
          <w:szCs w:val="20"/>
        </w:rPr>
        <w:t>南银理财</w:t>
      </w:r>
      <w:r>
        <w:rPr>
          <w:rFonts w:hint="eastAsia" w:ascii="Times New Roman" w:hAnsi="Times New Roman"/>
          <w:bCs/>
          <w:spacing w:val="10"/>
          <w:sz w:val="20"/>
          <w:szCs w:val="20"/>
        </w:rPr>
        <w:t>如推迟</w:t>
      </w:r>
      <w:r>
        <w:rPr>
          <w:rFonts w:ascii="Times New Roman" w:hAnsi="Times New Roman"/>
          <w:bCs/>
          <w:spacing w:val="10"/>
          <w:sz w:val="20"/>
          <w:szCs w:val="20"/>
        </w:rPr>
        <w:t>本理财产品</w:t>
      </w:r>
      <w:r>
        <w:rPr>
          <w:rFonts w:hint="eastAsia" w:ascii="Times New Roman" w:hAnsi="Times New Roman"/>
          <w:bCs/>
          <w:spacing w:val="10"/>
          <w:sz w:val="20"/>
          <w:szCs w:val="20"/>
        </w:rPr>
        <w:t>到期日</w:t>
      </w:r>
      <w:r>
        <w:rPr>
          <w:rFonts w:ascii="Times New Roman" w:hAnsi="Times New Roman"/>
          <w:bCs/>
          <w:spacing w:val="10"/>
          <w:sz w:val="20"/>
          <w:szCs w:val="20"/>
        </w:rPr>
        <w:t>，应根据本理财产品</w:t>
      </w:r>
      <w:r>
        <w:rPr>
          <w:rFonts w:hint="eastAsia" w:ascii="Times New Roman" w:hAnsi="Times New Roman"/>
          <w:bCs/>
          <w:spacing w:val="10"/>
          <w:sz w:val="20"/>
          <w:szCs w:val="20"/>
        </w:rPr>
        <w:t>销售文件约定的方式进行</w:t>
      </w:r>
      <w:r>
        <w:rPr>
          <w:rFonts w:ascii="Times New Roman" w:hAnsi="Times New Roman"/>
          <w:bCs/>
          <w:spacing w:val="10"/>
          <w:sz w:val="20"/>
          <w:szCs w:val="20"/>
        </w:rPr>
        <w:t>信息披露。</w:t>
      </w:r>
    </w:p>
    <w:p>
      <w:pPr>
        <w:spacing w:line="240" w:lineRule="auto"/>
        <w:ind w:firstLine="442" w:firstLineChars="200"/>
        <w:rPr>
          <w:rFonts w:hint="eastAsia" w:ascii="Times New Roman" w:hAnsi="Times New Roman"/>
          <w:b/>
          <w:spacing w:val="10"/>
          <w:sz w:val="20"/>
          <w:szCs w:val="20"/>
        </w:rPr>
      </w:pPr>
      <w:r>
        <w:rPr>
          <w:rFonts w:hint="eastAsia" w:ascii="Times New Roman" w:hAnsi="Times New Roman"/>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pPr>
        <w:spacing w:line="240" w:lineRule="auto"/>
        <w:ind w:firstLine="442" w:firstLineChars="200"/>
        <w:rPr>
          <w:rFonts w:hint="eastAsia" w:ascii="Times New Roman" w:hAnsi="Times New Roman"/>
          <w:b/>
          <w:spacing w:val="10"/>
          <w:sz w:val="20"/>
          <w:szCs w:val="20"/>
        </w:rPr>
      </w:pPr>
      <w:r>
        <w:rPr>
          <w:rFonts w:hint="eastAsia" w:ascii="Times New Roman" w:hAnsi="Times New Roman"/>
          <w:b/>
          <w:spacing w:val="10"/>
          <w:sz w:val="20"/>
          <w:szCs w:val="20"/>
        </w:rPr>
        <w:t xml:space="preserve">7.产品资产的清算 </w:t>
      </w:r>
    </w:p>
    <w:p>
      <w:pPr>
        <w:spacing w:line="240" w:lineRule="auto"/>
        <w:ind w:firstLine="440" w:firstLineChars="200"/>
        <w:rPr>
          <w:rFonts w:ascii="Times New Roman" w:hAnsi="Times New Roman"/>
          <w:b/>
          <w:spacing w:val="10"/>
          <w:sz w:val="20"/>
          <w:szCs w:val="20"/>
        </w:rPr>
      </w:pPr>
      <w:r>
        <w:rPr>
          <w:rFonts w:hint="eastAsia" w:ascii="Times New Roman" w:hAnsi="Times New Roman"/>
          <w:bCs/>
          <w:spacing w:val="10"/>
          <w:sz w:val="20"/>
          <w:szCs w:val="20"/>
        </w:rPr>
        <w:t>自本理财产品终止日至投资者理财本金及收益到账日之间为本理财产品的清算期，</w:t>
      </w:r>
      <w:r>
        <w:rPr>
          <w:rFonts w:hint="eastAsia" w:ascii="Times New Roman" w:hAnsi="Times New Roman"/>
          <w:b/>
          <w:spacing w:val="10"/>
          <w:sz w:val="20"/>
          <w:szCs w:val="20"/>
        </w:rPr>
        <w:t>清算期不计算利息或投资收益</w:t>
      </w:r>
      <w:r>
        <w:rPr>
          <w:rFonts w:hint="eastAsia" w:ascii="Times New Roman" w:hAnsi="Times New Roman"/>
          <w:bCs/>
          <w:spacing w:val="10"/>
          <w:sz w:val="20"/>
          <w:szCs w:val="20"/>
        </w:rPr>
        <w:t>。</w:t>
      </w:r>
      <w:r>
        <w:rPr>
          <w:rFonts w:hint="eastAsia" w:ascii="Times New Roman" w:hAnsi="Times New Roman"/>
          <w:b/>
          <w:spacing w:val="10"/>
          <w:sz w:val="20"/>
          <w:szCs w:val="20"/>
        </w:rPr>
        <w:t>甲方将</w:t>
      </w:r>
      <w:r>
        <w:rPr>
          <w:rFonts w:ascii="Times New Roman" w:hAnsi="Times New Roman"/>
          <w:b/>
          <w:spacing w:val="10"/>
          <w:sz w:val="20"/>
          <w:szCs w:val="20"/>
        </w:rPr>
        <w:t>根据对应期次《理财产品说明书》的约定将理财产品清算变现</w:t>
      </w:r>
      <w:r>
        <w:rPr>
          <w:rFonts w:hint="eastAsia" w:ascii="Times New Roman" w:hAnsi="Times New Roman"/>
          <w:b/>
          <w:spacing w:val="10"/>
          <w:sz w:val="20"/>
          <w:szCs w:val="20"/>
        </w:rPr>
        <w:t>，</w:t>
      </w:r>
      <w:r>
        <w:rPr>
          <w:rFonts w:hint="eastAsia" w:ascii="Times New Roman" w:hAnsi="Times New Roman"/>
          <w:b/>
          <w:bCs/>
          <w:spacing w:val="10"/>
          <w:sz w:val="20"/>
          <w:szCs w:val="20"/>
        </w:rPr>
        <w:t>销售机构为甲方的情形下，甲方</w:t>
      </w:r>
      <w:r>
        <w:rPr>
          <w:rFonts w:ascii="Times New Roman" w:hAnsi="Times New Roman"/>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ascii="Times New Roman" w:hAnsi="Times New Roman"/>
          <w:b/>
          <w:bCs/>
          <w:spacing w:val="10"/>
          <w:sz w:val="20"/>
          <w:szCs w:val="20"/>
        </w:rPr>
        <w:t>；销售机构非甲方的情形下，</w:t>
      </w:r>
      <w:r>
        <w:rPr>
          <w:rFonts w:ascii="Times New Roman" w:hAnsi="Times New Roman"/>
          <w:b/>
          <w:bCs/>
          <w:spacing w:val="10"/>
          <w:sz w:val="20"/>
          <w:szCs w:val="20"/>
        </w:rPr>
        <w:t>甲方按照理财产品说明书约定向乙方进行理财产品份额的收益分配并将对应资金划入</w:t>
      </w:r>
      <w:r>
        <w:rPr>
          <w:rFonts w:hint="eastAsia" w:ascii="Times New Roman" w:hAnsi="Times New Roman"/>
          <w:b/>
          <w:bCs/>
          <w:spacing w:val="10"/>
          <w:sz w:val="20"/>
          <w:szCs w:val="20"/>
        </w:rPr>
        <w:t>销售</w:t>
      </w:r>
      <w:r>
        <w:rPr>
          <w:rFonts w:ascii="Times New Roman" w:hAnsi="Times New Roman"/>
          <w:b/>
          <w:bCs/>
          <w:spacing w:val="10"/>
          <w:sz w:val="20"/>
          <w:szCs w:val="20"/>
        </w:rPr>
        <w:t>机构账户后，由</w:t>
      </w:r>
      <w:r>
        <w:rPr>
          <w:rFonts w:hint="eastAsia" w:ascii="Times New Roman" w:hAnsi="Times New Roman"/>
          <w:b/>
          <w:bCs/>
          <w:spacing w:val="10"/>
          <w:sz w:val="20"/>
          <w:szCs w:val="20"/>
        </w:rPr>
        <w:t>销售</w:t>
      </w:r>
      <w:r>
        <w:rPr>
          <w:rFonts w:ascii="Times New Roman" w:hAnsi="Times New Roman"/>
          <w:b/>
          <w:bCs/>
          <w:spacing w:val="10"/>
          <w:sz w:val="20"/>
          <w:szCs w:val="20"/>
        </w:rPr>
        <w:t>机构向乙方授权指定账户划付对应资金。</w:t>
      </w:r>
    </w:p>
    <w:p>
      <w:pPr>
        <w:spacing w:line="240" w:lineRule="auto"/>
        <w:ind w:firstLine="440" w:firstLineChars="200"/>
        <w:rPr>
          <w:rFonts w:hint="eastAsia" w:ascii="Times New Roman" w:hAnsi="Times New Roman"/>
          <w:bCs/>
          <w:spacing w:val="10"/>
          <w:sz w:val="20"/>
          <w:szCs w:val="20"/>
        </w:rPr>
      </w:pPr>
      <w:r>
        <w:rPr>
          <w:rFonts w:hint="eastAsia" w:ascii="Times New Roman" w:hAnsi="Times New Roman"/>
          <w:bCs/>
          <w:spacing w:val="10"/>
          <w:sz w:val="20"/>
          <w:szCs w:val="20"/>
        </w:rPr>
        <w:t>清算期原则上不得超过5个工作日，因清算期超过5个工作日的，应当在理财产品终止前，将依约定进行公告。</w:t>
      </w:r>
      <w:r>
        <w:rPr>
          <w:rFonts w:hint="eastAsia" w:ascii="Times New Roman" w:hAnsi="Times New Roman"/>
          <w:b/>
          <w:spacing w:val="10"/>
          <w:sz w:val="20"/>
          <w:szCs w:val="20"/>
        </w:rPr>
        <w:t>因本理财产品的投资资产无法及时、足额变现等原因，南银理财可以根据实际情况选择向投资者提前支付、延迟支付或者分次支付，并及时根据法律法规的要求向乙方披露支付方案。</w:t>
      </w:r>
    </w:p>
    <w:p>
      <w:pPr>
        <w:spacing w:line="240" w:lineRule="auto"/>
        <w:ind w:firstLine="442" w:firstLineChars="200"/>
        <w:rPr>
          <w:rFonts w:ascii="Times New Roman" w:hAnsi="Times New Roman"/>
          <w:b/>
          <w:bCs/>
          <w:spacing w:val="10"/>
          <w:sz w:val="20"/>
          <w:szCs w:val="20"/>
        </w:rPr>
      </w:pPr>
      <w:r>
        <w:rPr>
          <w:rFonts w:hint="eastAsia" w:ascii="Times New Roman" w:hAnsi="Times New Roman"/>
          <w:b/>
          <w:bCs/>
          <w:spacing w:val="10"/>
          <w:sz w:val="20"/>
          <w:szCs w:val="20"/>
        </w:rPr>
        <w:t>8</w:t>
      </w:r>
      <w:r>
        <w:rPr>
          <w:rFonts w:ascii="Times New Roman" w:hAnsi="Times New Roman"/>
          <w:b/>
          <w:bCs/>
          <w:spacing w:val="10"/>
          <w:sz w:val="20"/>
          <w:szCs w:val="20"/>
        </w:rPr>
        <w:t>.特别提示</w:t>
      </w:r>
    </w:p>
    <w:p>
      <w:pPr>
        <w:spacing w:line="240" w:lineRule="auto"/>
        <w:ind w:firstLine="442" w:firstLineChars="200"/>
        <w:rPr>
          <w:rFonts w:hint="eastAsia" w:ascii="Times New Roman" w:hAnsi="Times New Roman"/>
          <w:b/>
          <w:spacing w:val="10"/>
          <w:sz w:val="20"/>
          <w:szCs w:val="20"/>
        </w:rPr>
      </w:pPr>
      <w:r>
        <w:rPr>
          <w:rFonts w:ascii="Times New Roman" w:hAnsi="Times New Roman"/>
          <w:b/>
          <w:spacing w:val="10"/>
          <w:sz w:val="20"/>
          <w:szCs w:val="20"/>
        </w:rPr>
        <w:t>在本理财产品存续期内</w:t>
      </w:r>
      <w:r>
        <w:rPr>
          <w:rFonts w:hint="eastAsia" w:ascii="Times New Roman" w:hAnsi="Times New Roman"/>
          <w:b/>
          <w:spacing w:val="10"/>
          <w:sz w:val="20"/>
          <w:szCs w:val="20"/>
        </w:rPr>
        <w:t>：</w:t>
      </w:r>
    </w:p>
    <w:p>
      <w:pPr>
        <w:numPr>
          <w:ilvl w:val="0"/>
          <w:numId w:val="12"/>
        </w:numPr>
        <w:spacing w:line="240" w:lineRule="auto"/>
        <w:ind w:firstLine="442" w:firstLineChars="200"/>
        <w:rPr>
          <w:rFonts w:hint="eastAsia" w:ascii="Times New Roman" w:hAnsi="Times New Roman"/>
          <w:b/>
          <w:spacing w:val="10"/>
          <w:sz w:val="20"/>
          <w:szCs w:val="20"/>
        </w:rPr>
      </w:pPr>
      <w:r>
        <w:rPr>
          <w:rFonts w:hint="eastAsia" w:ascii="Times New Roman" w:hAnsi="Times New Roman"/>
          <w:b/>
          <w:spacing w:val="10"/>
          <w:sz w:val="20"/>
          <w:szCs w:val="20"/>
        </w:rPr>
        <w:t>若因国家法律法规、监管规定发生变化，甲方有权单方面对</w:t>
      </w:r>
      <w:r>
        <w:rPr>
          <w:rFonts w:ascii="Times New Roman" w:hAnsi="Times New Roman"/>
          <w:b/>
          <w:spacing w:val="10"/>
          <w:sz w:val="20"/>
          <w:szCs w:val="20"/>
        </w:rPr>
        <w:t>本理财产品的《理财产品销售协议书》《理财产品说明书》《理财产品风险揭示书》《投资者权益须知》《理财产品投资协议书》等相关销售文件进行修订</w:t>
      </w:r>
      <w:r>
        <w:rPr>
          <w:rFonts w:hint="eastAsia" w:ascii="Times New Roman" w:hAnsi="Times New Roman"/>
          <w:b/>
          <w:spacing w:val="10"/>
          <w:sz w:val="20"/>
          <w:szCs w:val="20"/>
        </w:rPr>
        <w:t>，并</w:t>
      </w:r>
      <w:r>
        <w:rPr>
          <w:rFonts w:ascii="Times New Roman" w:hAnsi="Times New Roman"/>
          <w:b/>
          <w:spacing w:val="10"/>
          <w:sz w:val="20"/>
          <w:szCs w:val="20"/>
        </w:rPr>
        <w:t>进行信息披露</w:t>
      </w:r>
      <w:r>
        <w:rPr>
          <w:rFonts w:hint="eastAsia" w:ascii="Times New Roman" w:hAnsi="Times New Roman"/>
          <w:b/>
          <w:spacing w:val="10"/>
          <w:sz w:val="20"/>
          <w:szCs w:val="20"/>
        </w:rPr>
        <w:t>。投资者在此同意，修订后的销售文件对投资者具有法律约束力；</w:t>
      </w:r>
    </w:p>
    <w:p>
      <w:pPr>
        <w:numPr>
          <w:ilvl w:val="0"/>
          <w:numId w:val="12"/>
        </w:numPr>
        <w:spacing w:line="240" w:lineRule="auto"/>
        <w:ind w:firstLine="442" w:firstLineChars="200"/>
        <w:rPr>
          <w:rFonts w:hint="eastAsia" w:ascii="Times New Roman" w:hAnsi="Times New Roman"/>
          <w:b/>
          <w:spacing w:val="10"/>
          <w:sz w:val="20"/>
          <w:szCs w:val="20"/>
        </w:rPr>
      </w:pPr>
      <w:r>
        <w:rPr>
          <w:rFonts w:hint="eastAsia" w:ascii="Times New Roman" w:hAnsi="Times New Roman"/>
          <w:b/>
          <w:spacing w:val="10"/>
          <w:sz w:val="20"/>
          <w:szCs w:val="20"/>
        </w:rPr>
        <w:t>若因</w:t>
      </w:r>
      <w:r>
        <w:rPr>
          <w:rFonts w:ascii="Times New Roman" w:hAnsi="Times New Roman"/>
          <w:b/>
          <w:spacing w:val="10"/>
          <w:sz w:val="20"/>
          <w:szCs w:val="20"/>
        </w:rPr>
        <w:t>市场情况等发生变化或是出于维护本理财产品正常运营或管理的需要，或基于甲方合理认定的其他情形，甲方有权单方面对本理财产品的销售文件进行修订，包括但不限于</w:t>
      </w:r>
      <w:r>
        <w:rPr>
          <w:rFonts w:hint="eastAsia" w:ascii="Times New Roman" w:hAnsi="Times New Roman"/>
          <w:b/>
          <w:spacing w:val="10"/>
          <w:sz w:val="20"/>
          <w:szCs w:val="20"/>
        </w:rPr>
        <w:t>对本理财产品的投资范围、投资资产种类、投资比例或已约定的收费项目、条件、标准和方式等进行调整，</w:t>
      </w:r>
      <w:r>
        <w:rPr>
          <w:rFonts w:ascii="Times New Roman" w:hAnsi="Times New Roman"/>
          <w:b/>
          <w:spacing w:val="10"/>
          <w:sz w:val="20"/>
          <w:szCs w:val="20"/>
        </w:rPr>
        <w:t>并进行信息披露</w:t>
      </w:r>
      <w:r>
        <w:rPr>
          <w:rFonts w:hint="eastAsia" w:ascii="Times New Roman" w:hAnsi="Times New Roman"/>
          <w:b/>
          <w:spacing w:val="10"/>
          <w:sz w:val="20"/>
          <w:szCs w:val="20"/>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numPr>
          <w:ilvl w:val="0"/>
          <w:numId w:val="12"/>
        </w:numPr>
        <w:spacing w:line="240" w:lineRule="auto"/>
        <w:ind w:firstLine="440" w:firstLineChars="200"/>
        <w:rPr>
          <w:rFonts w:ascii="Times New Roman" w:hAnsi="Times New Roman"/>
          <w:bCs/>
          <w:spacing w:val="10"/>
          <w:sz w:val="20"/>
          <w:szCs w:val="20"/>
        </w:rPr>
      </w:pPr>
      <w:r>
        <w:rPr>
          <w:rFonts w:ascii="Times New Roman" w:hAnsi="Times New Roman"/>
          <w:bCs/>
          <w:spacing w:val="10"/>
          <w:sz w:val="20"/>
          <w:szCs w:val="20"/>
        </w:rPr>
        <w:t>免责条款</w:t>
      </w:r>
    </w:p>
    <w:p>
      <w:pPr>
        <w:pStyle w:val="18"/>
        <w:numPr>
          <w:ilvl w:val="0"/>
          <w:numId w:val="13"/>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不合法。如果因遵守任何适用法律、法规、条例、规则、规定、裁决、命令或指令</w:t>
      </w:r>
      <w:r>
        <w:rPr>
          <w:rFonts w:hint="eastAsia" w:ascii="Times New Roman" w:hAnsi="Times New Roman"/>
          <w:bCs/>
          <w:spacing w:val="10"/>
          <w:sz w:val="20"/>
          <w:szCs w:val="20"/>
        </w:rPr>
        <w:t>（</w:t>
      </w:r>
      <w:r>
        <w:rPr>
          <w:rFonts w:ascii="Times New Roman" w:hAnsi="Times New Roman"/>
          <w:bCs/>
          <w:spacing w:val="10"/>
          <w:sz w:val="20"/>
          <w:szCs w:val="20"/>
        </w:rPr>
        <w:t>不论是现行或将来实施的</w:t>
      </w:r>
      <w:r>
        <w:rPr>
          <w:rFonts w:hint="eastAsia" w:ascii="Times New Roman" w:hAnsi="Times New Roman"/>
          <w:bCs/>
          <w:spacing w:val="10"/>
          <w:sz w:val="20"/>
          <w:szCs w:val="20"/>
        </w:rPr>
        <w:t>）</w:t>
      </w:r>
      <w:r>
        <w:rPr>
          <w:rFonts w:ascii="Times New Roman" w:hAnsi="Times New Roman"/>
          <w:bCs/>
          <w:spacing w:val="10"/>
          <w:sz w:val="20"/>
          <w:szCs w:val="20"/>
        </w:rPr>
        <w:t>而使得甲方履行协议项下的义务全部或部分成为不合法，甲方有权在任何时间向乙方发出通知提前终止受影响的理财产品，在此情况下甲方无需对乙方因提前终止投资而造成的任何损失承担任何责任。</w:t>
      </w:r>
    </w:p>
    <w:p>
      <w:pPr>
        <w:pStyle w:val="18"/>
        <w:numPr>
          <w:ilvl w:val="0"/>
          <w:numId w:val="13"/>
        </w:numPr>
        <w:spacing w:line="240" w:lineRule="auto"/>
        <w:ind w:firstLineChars="0"/>
        <w:rPr>
          <w:spacing w:val="10"/>
          <w:sz w:val="20"/>
          <w:szCs w:val="20"/>
        </w:rPr>
      </w:pPr>
      <w:r>
        <w:rPr>
          <w:rFonts w:ascii="Times New Roman" w:hAnsi="Times New Roman"/>
          <w:bCs/>
          <w:spacing w:val="10"/>
          <w:sz w:val="20"/>
          <w:szCs w:val="20"/>
        </w:rPr>
        <w:t>不可抗力。如果甲方认为由于自然灾害、</w:t>
      </w:r>
      <w:bookmarkStart w:id="25" w:name="_Hlk41903042"/>
      <w:r>
        <w:rPr>
          <w:rFonts w:ascii="Times New Roman" w:hAnsi="Times New Roman"/>
          <w:bCs/>
          <w:spacing w:val="10"/>
          <w:sz w:val="20"/>
          <w:szCs w:val="20"/>
        </w:rPr>
        <w:t>地震、台风、海啸、洪水、火灾、停电、突发性公共卫生事件、</w:t>
      </w:r>
      <w:bookmarkEnd w:id="25"/>
      <w:bookmarkStart w:id="26" w:name="_Hlk41862861"/>
      <w:r>
        <w:rPr>
          <w:rFonts w:ascii="Times New Roman" w:hAnsi="Times New Roman"/>
          <w:bCs/>
          <w:spacing w:val="10"/>
          <w:sz w:val="20"/>
          <w:szCs w:val="20"/>
        </w:rPr>
        <w:t>罢工、内战、战争、军事行动、任何种类的恐怖活动、暴动、公众示威或抗议</w:t>
      </w:r>
      <w:bookmarkEnd w:id="26"/>
      <w:bookmarkStart w:id="27" w:name="_Hlk41903076"/>
      <w:r>
        <w:rPr>
          <w:rFonts w:ascii="Times New Roman" w:hAnsi="Times New Roman"/>
          <w:bCs/>
          <w:spacing w:val="10"/>
          <w:sz w:val="20"/>
          <w:szCs w:val="20"/>
        </w:rPr>
        <w:t>；新的适用法律或国家政策的颁布或实施、对原适用法律或国家政策的修改；</w:t>
      </w:r>
      <w:bookmarkEnd w:id="27"/>
      <w:bookmarkStart w:id="28" w:name="_Hlk41862959"/>
      <w:r>
        <w:rPr>
          <w:rFonts w:ascii="Times New Roman" w:hAnsi="Times New Roman"/>
          <w:bCs/>
          <w:spacing w:val="10"/>
          <w:sz w:val="20"/>
          <w:szCs w:val="20"/>
        </w:rPr>
        <w:t>中国內地或全球金融外汇市场发生致使甲方无法进行货币兑换、划转等的异常变化；任何政府机关或其他机关的行为</w:t>
      </w:r>
      <w:r>
        <w:rPr>
          <w:rFonts w:hint="eastAsia" w:ascii="Times New Roman" w:hAnsi="Times New Roman"/>
          <w:bCs/>
          <w:spacing w:val="10"/>
          <w:sz w:val="20"/>
          <w:szCs w:val="20"/>
        </w:rPr>
        <w:t>（</w:t>
      </w:r>
      <w:r>
        <w:rPr>
          <w:rFonts w:ascii="Times New Roman" w:hAnsi="Times New Roman"/>
          <w:bCs/>
          <w:spacing w:val="10"/>
          <w:sz w:val="20"/>
          <w:szCs w:val="20"/>
        </w:rPr>
        <w:t>不论是在法律上或是在事实上</w:t>
      </w:r>
      <w:r>
        <w:rPr>
          <w:rFonts w:hint="eastAsia" w:ascii="Times New Roman" w:hAnsi="Times New Roman"/>
          <w:bCs/>
          <w:spacing w:val="10"/>
          <w:sz w:val="20"/>
          <w:szCs w:val="20"/>
        </w:rPr>
        <w:t>）</w:t>
      </w:r>
      <w:r>
        <w:rPr>
          <w:rFonts w:ascii="Times New Roman" w:hAnsi="Times New Roman"/>
          <w:bCs/>
          <w:spacing w:val="10"/>
          <w:sz w:val="20"/>
          <w:szCs w:val="20"/>
        </w:rPr>
        <w:t>、法律、法规、条例、规则、规定、裁决、命令或指令</w:t>
      </w:r>
      <w:r>
        <w:rPr>
          <w:rFonts w:hint="eastAsia" w:ascii="Times New Roman" w:hAnsi="Times New Roman"/>
          <w:bCs/>
          <w:spacing w:val="10"/>
          <w:sz w:val="20"/>
          <w:szCs w:val="20"/>
        </w:rPr>
        <w:t>（</w:t>
      </w:r>
      <w:r>
        <w:rPr>
          <w:rFonts w:ascii="Times New Roman" w:hAnsi="Times New Roman"/>
          <w:bCs/>
          <w:spacing w:val="10"/>
          <w:sz w:val="20"/>
          <w:szCs w:val="20"/>
        </w:rPr>
        <w:t>包括国有化或对外限制、外汇管制</w:t>
      </w:r>
      <w:r>
        <w:rPr>
          <w:rFonts w:hint="eastAsia" w:ascii="Times New Roman" w:hAnsi="Times New Roman"/>
          <w:bCs/>
          <w:spacing w:val="10"/>
          <w:sz w:val="20"/>
          <w:szCs w:val="20"/>
        </w:rPr>
        <w:t>）</w:t>
      </w:r>
      <w:r>
        <w:rPr>
          <w:rFonts w:ascii="Times New Roman" w:hAnsi="Times New Roman"/>
          <w:bCs/>
          <w:spacing w:val="10"/>
          <w:sz w:val="20"/>
          <w:szCs w:val="20"/>
        </w:rPr>
        <w:t>、诉讼或威胁</w:t>
      </w:r>
      <w:bookmarkEnd w:id="28"/>
      <w:r>
        <w:rPr>
          <w:rFonts w:ascii="Times New Roman" w:hAnsi="Times New Roman"/>
          <w:bCs/>
          <w:spacing w:val="10"/>
          <w:sz w:val="20"/>
          <w:szCs w:val="20"/>
        </w:rPr>
        <w:t>；</w:t>
      </w:r>
      <w:bookmarkStart w:id="29" w:name="_Hlk41903087"/>
      <w:r>
        <w:rPr>
          <w:rFonts w:ascii="Times New Roman" w:hAnsi="Times New Roman"/>
          <w:bCs/>
          <w:spacing w:val="10"/>
          <w:sz w:val="20"/>
          <w:szCs w:val="20"/>
        </w:rPr>
        <w:t>因理财产品各方和/或其关联方运营网络系统遭受黑客攻击、电信部门技术调整或故障等原因而造成的理财产品各方和/或其关联方之服务、营业的中断或者延迟;</w:t>
      </w:r>
      <w:bookmarkEnd w:id="29"/>
      <w:r>
        <w:rPr>
          <w:rFonts w:ascii="Times New Roman" w:hAnsi="Times New Roman"/>
          <w:bCs/>
          <w:spacing w:val="10"/>
          <w:sz w:val="20"/>
          <w:szCs w:val="20"/>
        </w:rPr>
        <w:t>或任何其他非甲方所能控制的情况或原因，导致甲方未能履行或需延迟履行协议项下或与理财产品相关的支付义务，甲方无需对乙方承担任何责任。尤其是，当资金存放在任何</w:t>
      </w:r>
      <w:r>
        <w:rPr>
          <w:rFonts w:hint="eastAsia" w:ascii="Times New Roman" w:hAnsi="Times New Roman"/>
          <w:bCs/>
          <w:spacing w:val="10"/>
          <w:sz w:val="20"/>
          <w:szCs w:val="20"/>
        </w:rPr>
        <w:t>销售</w:t>
      </w:r>
      <w:r>
        <w:rPr>
          <w:rFonts w:ascii="Times New Roman" w:hAnsi="Times New Roman"/>
          <w:bCs/>
          <w:spacing w:val="10"/>
          <w:sz w:val="20"/>
          <w:szCs w:val="20"/>
        </w:rPr>
        <w:t>机构、托管人或代理人处而他们因上述原因被禁止向甲方付款或履行义务时，甲方亦无需向乙方负责。如果在一个支付日发生不可抗力</w:t>
      </w:r>
      <w:r>
        <w:rPr>
          <w:rFonts w:hint="eastAsia" w:ascii="Times New Roman" w:hAnsi="Times New Roman"/>
          <w:bCs/>
          <w:spacing w:val="10"/>
          <w:sz w:val="20"/>
          <w:szCs w:val="20"/>
        </w:rPr>
        <w:t>（</w:t>
      </w:r>
      <w:r>
        <w:rPr>
          <w:rFonts w:ascii="Times New Roman" w:hAnsi="Times New Roman"/>
          <w:bCs/>
          <w:spacing w:val="10"/>
          <w:sz w:val="20"/>
          <w:szCs w:val="20"/>
        </w:rPr>
        <w:t>不论该不可抗力是否持续整个当日</w:t>
      </w:r>
      <w:r>
        <w:rPr>
          <w:rFonts w:hint="eastAsia" w:ascii="Times New Roman" w:hAnsi="Times New Roman"/>
          <w:bCs/>
          <w:spacing w:val="10"/>
          <w:sz w:val="20"/>
          <w:szCs w:val="20"/>
        </w:rPr>
        <w:t>）</w:t>
      </w:r>
      <w:r>
        <w:rPr>
          <w:rFonts w:ascii="Times New Roman" w:hAnsi="Times New Roman"/>
          <w:bCs/>
          <w:spacing w:val="10"/>
          <w:sz w:val="20"/>
          <w:szCs w:val="20"/>
        </w:rPr>
        <w:t>，与理财产品有关的相关回报或赎回金额</w:t>
      </w:r>
      <w:r>
        <w:rPr>
          <w:rFonts w:hint="eastAsia" w:ascii="Times New Roman" w:hAnsi="Times New Roman"/>
          <w:bCs/>
          <w:spacing w:val="10"/>
          <w:sz w:val="20"/>
          <w:szCs w:val="20"/>
        </w:rPr>
        <w:t>（</w:t>
      </w:r>
      <w:r>
        <w:rPr>
          <w:rFonts w:ascii="Times New Roman" w:hAnsi="Times New Roman"/>
          <w:bCs/>
          <w:spacing w:val="10"/>
          <w:sz w:val="20"/>
          <w:szCs w:val="20"/>
        </w:rPr>
        <w:t>视情形而定</w:t>
      </w:r>
      <w:r>
        <w:rPr>
          <w:rFonts w:hint="eastAsia" w:ascii="Times New Roman" w:hAnsi="Times New Roman"/>
          <w:bCs/>
          <w:spacing w:val="10"/>
          <w:sz w:val="20"/>
          <w:szCs w:val="20"/>
        </w:rPr>
        <w:t>）</w:t>
      </w:r>
      <w:r>
        <w:rPr>
          <w:rFonts w:ascii="Times New Roman" w:hAnsi="Times New Roman"/>
          <w:bCs/>
          <w:spacing w:val="10"/>
          <w:sz w:val="20"/>
          <w:szCs w:val="20"/>
        </w:rPr>
        <w:t>的支付将由甲方按完全自行酌情决定顺延至紧临的下一个不存在不可抗力的工作日。乙方将不会因此而收到额外的收益或者补偿。</w:t>
      </w:r>
    </w:p>
    <w:p>
      <w:pPr>
        <w:pStyle w:val="18"/>
        <w:numPr>
          <w:ilvl w:val="0"/>
          <w:numId w:val="13"/>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ascii="Times New Roman" w:hAnsi="Times New Roman"/>
          <w:bCs/>
          <w:spacing w:val="10"/>
          <w:sz w:val="20"/>
          <w:szCs w:val="20"/>
        </w:rPr>
        <w:t>乙方承担</w:t>
      </w:r>
      <w:r>
        <w:rPr>
          <w:rFonts w:ascii="Times New Roman" w:hAnsi="Times New Roman"/>
          <w:bCs/>
          <w:spacing w:val="10"/>
          <w:sz w:val="20"/>
          <w:szCs w:val="20"/>
        </w:rPr>
        <w:t>由此</w:t>
      </w:r>
      <w:r>
        <w:rPr>
          <w:rFonts w:hint="eastAsia" w:ascii="Times New Roman" w:hAnsi="Times New Roman"/>
          <w:bCs/>
          <w:spacing w:val="10"/>
          <w:sz w:val="20"/>
          <w:szCs w:val="20"/>
        </w:rPr>
        <w:t>给乙方</w:t>
      </w:r>
      <w:r>
        <w:rPr>
          <w:rFonts w:ascii="Times New Roman" w:hAnsi="Times New Roman"/>
          <w:bCs/>
          <w:spacing w:val="10"/>
          <w:sz w:val="20"/>
          <w:szCs w:val="20"/>
        </w:rPr>
        <w:t>造成的任何损失。</w:t>
      </w:r>
    </w:p>
    <w:p>
      <w:pPr>
        <w:pStyle w:val="18"/>
        <w:numPr>
          <w:ilvl w:val="0"/>
          <w:numId w:val="13"/>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本理财产品</w:t>
      </w:r>
      <w:r>
        <w:rPr>
          <w:rFonts w:hint="eastAsia" w:ascii="Times New Roman" w:hAnsi="Times New Roman"/>
          <w:bCs/>
          <w:spacing w:val="10"/>
          <w:sz w:val="20"/>
          <w:szCs w:val="20"/>
        </w:rPr>
        <w:t>销售文件</w:t>
      </w:r>
      <w:r>
        <w:rPr>
          <w:rFonts w:ascii="Times New Roman" w:hAnsi="Times New Roman"/>
          <w:bCs/>
          <w:spacing w:val="10"/>
          <w:sz w:val="20"/>
          <w:szCs w:val="20"/>
        </w:rPr>
        <w:t>项下理财业务不受</w:t>
      </w:r>
      <w:r>
        <w:rPr>
          <w:rFonts w:hint="eastAsia" w:ascii="Times New Roman" w:hAnsi="Times New Roman"/>
          <w:bCs/>
          <w:spacing w:val="10"/>
          <w:sz w:val="20"/>
          <w:szCs w:val="20"/>
        </w:rPr>
        <w:t>销售</w:t>
      </w:r>
      <w:r>
        <w:rPr>
          <w:rFonts w:ascii="Times New Roman" w:hAnsi="Times New Roman"/>
          <w:bCs/>
          <w:spacing w:val="10"/>
          <w:sz w:val="20"/>
          <w:szCs w:val="20"/>
        </w:rPr>
        <w:t>机构存款保险机制或其他保障机制保障。</w:t>
      </w:r>
    </w:p>
    <w:p>
      <w:pPr>
        <w:numPr>
          <w:ilvl w:val="0"/>
          <w:numId w:val="12"/>
        </w:numPr>
        <w:spacing w:line="240" w:lineRule="auto"/>
        <w:ind w:firstLine="440" w:firstLineChars="200"/>
        <w:rPr>
          <w:rFonts w:ascii="Times New Roman" w:hAnsi="Times New Roman"/>
          <w:spacing w:val="10"/>
          <w:sz w:val="20"/>
          <w:szCs w:val="20"/>
        </w:rPr>
      </w:pPr>
      <w:r>
        <w:rPr>
          <w:rFonts w:ascii="Times New Roman" w:hAnsi="Times New Roman"/>
          <w:bCs/>
          <w:spacing w:val="10"/>
          <w:sz w:val="20"/>
          <w:szCs w:val="20"/>
        </w:rPr>
        <w:t>赔偿</w:t>
      </w:r>
      <w:r>
        <w:rPr>
          <w:rFonts w:ascii="Times New Roman" w:hAnsi="Times New Roman"/>
          <w:spacing w:val="10"/>
          <w:sz w:val="20"/>
          <w:szCs w:val="20"/>
        </w:rPr>
        <w:t>及责任限制</w:t>
      </w:r>
    </w:p>
    <w:p>
      <w:pPr>
        <w:spacing w:line="240" w:lineRule="auto"/>
        <w:ind w:firstLine="440" w:firstLineChars="200"/>
        <w:rPr>
          <w:rFonts w:ascii="Times New Roman" w:hAnsi="Times New Roman"/>
          <w:spacing w:val="10"/>
          <w:sz w:val="20"/>
          <w:szCs w:val="20"/>
        </w:rPr>
      </w:pPr>
      <w:bookmarkStart w:id="30" w:name="_Hlk50135417"/>
      <w:r>
        <w:rPr>
          <w:rFonts w:ascii="Times New Roman" w:hAnsi="Times New Roman"/>
          <w:spacing w:val="10"/>
          <w:sz w:val="20"/>
          <w:szCs w:val="20"/>
        </w:rPr>
        <w:t>由于本协议一方当事人的过错，造成本协议不能履行或不能完全履行的，由有过错的一方承担违约责任；如双方同时负有过错，则应由双方各自按照过错程度承担责任。</w:t>
      </w:r>
      <w:bookmarkEnd w:id="30"/>
    </w:p>
    <w:p>
      <w:p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ascii="Times New Roman" w:hAnsi="Times New Roman"/>
          <w:b/>
          <w:bCs/>
          <w:spacing w:val="10"/>
          <w:sz w:val="20"/>
          <w:szCs w:val="20"/>
        </w:rPr>
        <w:t>特别地，尽管乙方可能给予相反的指示，如果甲方因需遵守适用法律、法规或规则</w:t>
      </w:r>
      <w:r>
        <w:rPr>
          <w:rFonts w:hint="eastAsia" w:ascii="Times New Roman" w:hAnsi="Times New Roman"/>
          <w:b/>
          <w:bCs/>
          <w:spacing w:val="10"/>
          <w:sz w:val="20"/>
          <w:szCs w:val="20"/>
        </w:rPr>
        <w:t>（</w:t>
      </w:r>
      <w:r>
        <w:rPr>
          <w:rFonts w:ascii="Times New Roman" w:hAnsi="Times New Roman"/>
          <w:b/>
          <w:bCs/>
          <w:spacing w:val="10"/>
          <w:sz w:val="20"/>
          <w:szCs w:val="20"/>
        </w:rPr>
        <w:t>包括但不限于各种支付体系的规则和规定</w:t>
      </w:r>
      <w:r>
        <w:rPr>
          <w:rFonts w:hint="eastAsia" w:ascii="Times New Roman" w:hAnsi="Times New Roman"/>
          <w:b/>
          <w:bCs/>
          <w:spacing w:val="10"/>
          <w:sz w:val="20"/>
          <w:szCs w:val="20"/>
        </w:rPr>
        <w:t>）</w:t>
      </w:r>
      <w:r>
        <w:rPr>
          <w:rFonts w:ascii="Times New Roman" w:hAnsi="Times New Roman"/>
          <w:b/>
          <w:bCs/>
          <w:spacing w:val="10"/>
          <w:sz w:val="20"/>
          <w:szCs w:val="20"/>
        </w:rPr>
        <w:t>或遵守与其他银行、金融机构达成的业务交易协议而导致甲方延迟执行乙方指示或者未能执行乙方指示或使乙方产生任何责任、损失或支出，甲方无需负责</w:t>
      </w:r>
      <w:r>
        <w:rPr>
          <w:rFonts w:ascii="Times New Roman" w:hAnsi="Times New Roman"/>
          <w:spacing w:val="10"/>
          <w:sz w:val="20"/>
          <w:szCs w:val="20"/>
        </w:rPr>
        <w:t>。</w:t>
      </w:r>
    </w:p>
    <w:p>
      <w:pPr>
        <w:numPr>
          <w:ilvl w:val="0"/>
          <w:numId w:val="12"/>
        </w:numPr>
        <w:spacing w:line="240" w:lineRule="auto"/>
        <w:ind w:firstLine="440" w:firstLineChars="200"/>
        <w:rPr>
          <w:rFonts w:ascii="Times New Roman" w:hAnsi="Times New Roman"/>
          <w:spacing w:val="10"/>
          <w:sz w:val="20"/>
          <w:szCs w:val="20"/>
        </w:rPr>
      </w:pPr>
      <w:r>
        <w:rPr>
          <w:rFonts w:ascii="Times New Roman" w:hAnsi="Times New Roman"/>
          <w:bCs/>
          <w:spacing w:val="10"/>
          <w:sz w:val="20"/>
          <w:szCs w:val="20"/>
        </w:rPr>
        <w:t>抵销</w:t>
      </w:r>
    </w:p>
    <w:p>
      <w:pPr>
        <w:pStyle w:val="18"/>
        <w:numPr>
          <w:ilvl w:val="0"/>
          <w:numId w:val="14"/>
        </w:numPr>
        <w:spacing w:line="240" w:lineRule="auto"/>
        <w:ind w:firstLineChars="0"/>
        <w:rPr>
          <w:rFonts w:ascii="Times New Roman" w:hAnsi="Times New Roman"/>
          <w:bCs/>
          <w:spacing w:val="10"/>
          <w:sz w:val="20"/>
          <w:szCs w:val="20"/>
        </w:rPr>
      </w:pPr>
      <w:r>
        <w:rPr>
          <w:rFonts w:ascii="Times New Roman" w:hAnsi="Times New Roman"/>
          <w:b/>
          <w:spacing w:val="10"/>
          <w:sz w:val="20"/>
          <w:szCs w:val="20"/>
        </w:rPr>
        <w:t>除享有法律规定的或其他的抵销权利外，甲方有权</w:t>
      </w:r>
      <w:r>
        <w:rPr>
          <w:rFonts w:hint="eastAsia" w:ascii="Times New Roman" w:hAnsi="Times New Roman"/>
          <w:b/>
          <w:spacing w:val="10"/>
          <w:sz w:val="20"/>
          <w:szCs w:val="20"/>
        </w:rPr>
        <w:t>（</w:t>
      </w:r>
      <w:r>
        <w:rPr>
          <w:rFonts w:ascii="Times New Roman" w:hAnsi="Times New Roman"/>
          <w:b/>
          <w:spacing w:val="10"/>
          <w:sz w:val="20"/>
          <w:szCs w:val="20"/>
        </w:rPr>
        <w:t>但无义务</w:t>
      </w:r>
      <w:r>
        <w:rPr>
          <w:rFonts w:hint="eastAsia" w:ascii="Times New Roman" w:hAnsi="Times New Roman"/>
          <w:b/>
          <w:spacing w:val="10"/>
          <w:sz w:val="20"/>
          <w:szCs w:val="20"/>
        </w:rPr>
        <w:t>）</w:t>
      </w:r>
      <w:r>
        <w:rPr>
          <w:rFonts w:ascii="Times New Roman" w:hAnsi="Times New Roman"/>
          <w:b/>
          <w:spacing w:val="10"/>
          <w:sz w:val="20"/>
          <w:szCs w:val="20"/>
        </w:rPr>
        <w:t>将乙方欠付甲方的任何债务</w:t>
      </w:r>
      <w:r>
        <w:rPr>
          <w:rFonts w:hint="eastAsia" w:ascii="Times New Roman" w:hAnsi="Times New Roman"/>
          <w:b/>
          <w:spacing w:val="10"/>
          <w:sz w:val="20"/>
          <w:szCs w:val="20"/>
        </w:rPr>
        <w:t>（</w:t>
      </w:r>
      <w:r>
        <w:rPr>
          <w:rFonts w:ascii="Times New Roman" w:hAnsi="Times New Roman"/>
          <w:b/>
          <w:spacing w:val="10"/>
          <w:sz w:val="20"/>
          <w:szCs w:val="20"/>
        </w:rPr>
        <w:t>不论是否已经到期、无论是否因协议而导致，也不论债务的结算货币、付款地或登记处</w:t>
      </w:r>
      <w:r>
        <w:rPr>
          <w:rFonts w:hint="eastAsia" w:ascii="Times New Roman" w:hAnsi="Times New Roman"/>
          <w:b/>
          <w:spacing w:val="10"/>
          <w:sz w:val="20"/>
          <w:szCs w:val="20"/>
        </w:rPr>
        <w:t>）</w:t>
      </w:r>
      <w:r>
        <w:rPr>
          <w:rFonts w:ascii="Times New Roman" w:hAnsi="Times New Roman"/>
          <w:b/>
          <w:spacing w:val="10"/>
          <w:sz w:val="20"/>
          <w:szCs w:val="20"/>
        </w:rPr>
        <w:t>与甲方欠付乙方的任何债务</w:t>
      </w:r>
      <w:r>
        <w:rPr>
          <w:rFonts w:hint="eastAsia" w:ascii="Times New Roman" w:hAnsi="Times New Roman"/>
          <w:b/>
          <w:spacing w:val="10"/>
          <w:sz w:val="20"/>
          <w:szCs w:val="20"/>
        </w:rPr>
        <w:t>（</w:t>
      </w:r>
      <w:r>
        <w:rPr>
          <w:rFonts w:ascii="Times New Roman" w:hAnsi="Times New Roman"/>
          <w:b/>
          <w:spacing w:val="10"/>
          <w:sz w:val="20"/>
          <w:szCs w:val="20"/>
        </w:rPr>
        <w:t>不论是否已经到期、无论是否因协议而导致，也不论债务的结算货币、付款地或登记处</w:t>
      </w:r>
      <w:r>
        <w:rPr>
          <w:rFonts w:hint="eastAsia" w:ascii="Times New Roman" w:hAnsi="Times New Roman"/>
          <w:b/>
          <w:spacing w:val="10"/>
          <w:sz w:val="20"/>
          <w:szCs w:val="20"/>
        </w:rPr>
        <w:t>）</w:t>
      </w:r>
      <w:r>
        <w:rPr>
          <w:rFonts w:ascii="Times New Roman" w:hAnsi="Times New Roman"/>
          <w:b/>
          <w:spacing w:val="10"/>
          <w:sz w:val="20"/>
          <w:szCs w:val="20"/>
        </w:rPr>
        <w:t>进行抵销，而无须事先书面通知乙方或任何其他人员</w:t>
      </w:r>
      <w:r>
        <w:rPr>
          <w:rFonts w:hint="eastAsia" w:ascii="Times New Roman" w:hAnsi="Times New Roman"/>
          <w:bCs/>
          <w:spacing w:val="10"/>
          <w:sz w:val="20"/>
          <w:szCs w:val="20"/>
        </w:rPr>
        <w:t>。</w:t>
      </w:r>
    </w:p>
    <w:p>
      <w:pPr>
        <w:pStyle w:val="18"/>
        <w:numPr>
          <w:ilvl w:val="0"/>
          <w:numId w:val="14"/>
        </w:numPr>
        <w:spacing w:line="240" w:lineRule="auto"/>
        <w:ind w:firstLineChars="0"/>
        <w:rPr>
          <w:rFonts w:ascii="Times New Roman" w:hAnsi="Times New Roman"/>
          <w:bCs/>
          <w:spacing w:val="10"/>
          <w:sz w:val="20"/>
          <w:szCs w:val="20"/>
        </w:rPr>
      </w:pPr>
      <w:r>
        <w:rPr>
          <w:rFonts w:ascii="Times New Roman" w:hAnsi="Times New Roman"/>
          <w:bCs/>
          <w:spacing w:val="10"/>
          <w:sz w:val="20"/>
          <w:szCs w:val="20"/>
        </w:rPr>
        <w:t>为了对不同货币进行抵销，甲方可在有关日期以甲方所选择适用的市场汇率将</w:t>
      </w:r>
      <w:r>
        <w:rPr>
          <w:rFonts w:hint="eastAsia" w:ascii="Times New Roman" w:hAnsi="Times New Roman"/>
          <w:bCs/>
          <w:spacing w:val="10"/>
          <w:sz w:val="20"/>
          <w:szCs w:val="20"/>
        </w:rPr>
        <w:t>乙方</w:t>
      </w:r>
      <w:r>
        <w:rPr>
          <w:rFonts w:ascii="Times New Roman" w:hAnsi="Times New Roman"/>
          <w:bCs/>
          <w:spacing w:val="10"/>
          <w:sz w:val="20"/>
          <w:szCs w:val="20"/>
        </w:rPr>
        <w:t>的债务予以兑换。如果债务尚未确定，则甲方可估计该债务的数额后进行抵销，但</w:t>
      </w:r>
      <w:r>
        <w:rPr>
          <w:rFonts w:hint="eastAsia" w:ascii="Times New Roman" w:hAnsi="Times New Roman"/>
          <w:bCs/>
          <w:spacing w:val="10"/>
          <w:sz w:val="20"/>
          <w:szCs w:val="20"/>
        </w:rPr>
        <w:t>甲方</w:t>
      </w:r>
      <w:r>
        <w:rPr>
          <w:rFonts w:ascii="Times New Roman" w:hAnsi="Times New Roman"/>
          <w:bCs/>
          <w:spacing w:val="10"/>
          <w:sz w:val="20"/>
          <w:szCs w:val="20"/>
        </w:rPr>
        <w:t>须在该债务得以确定时向</w:t>
      </w:r>
      <w:r>
        <w:rPr>
          <w:rFonts w:hint="eastAsia" w:ascii="Times New Roman" w:hAnsi="Times New Roman"/>
          <w:bCs/>
          <w:spacing w:val="10"/>
          <w:sz w:val="20"/>
          <w:szCs w:val="20"/>
        </w:rPr>
        <w:t>乙</w:t>
      </w:r>
      <w:r>
        <w:rPr>
          <w:rFonts w:ascii="Times New Roman" w:hAnsi="Times New Roman"/>
          <w:bCs/>
          <w:spacing w:val="10"/>
          <w:sz w:val="20"/>
          <w:szCs w:val="20"/>
        </w:rPr>
        <w:t>方支付差额。</w:t>
      </w:r>
    </w:p>
    <w:p>
      <w:pPr>
        <w:numPr>
          <w:ilvl w:val="0"/>
          <w:numId w:val="12"/>
        </w:numPr>
        <w:spacing w:line="240" w:lineRule="auto"/>
        <w:ind w:firstLine="440" w:firstLineChars="200"/>
        <w:rPr>
          <w:rFonts w:ascii="Times New Roman" w:hAnsi="Times New Roman"/>
          <w:spacing w:val="10"/>
          <w:sz w:val="20"/>
          <w:szCs w:val="20"/>
        </w:rPr>
      </w:pPr>
      <w:r>
        <w:rPr>
          <w:rFonts w:ascii="Times New Roman" w:hAnsi="Times New Roman"/>
          <w:bCs/>
          <w:spacing w:val="10"/>
          <w:sz w:val="20"/>
          <w:szCs w:val="20"/>
        </w:rPr>
        <w:t>弃权</w:t>
      </w:r>
    </w:p>
    <w:p>
      <w:p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pPr>
        <w:numPr>
          <w:ilvl w:val="0"/>
          <w:numId w:val="12"/>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可分割性</w:t>
      </w:r>
    </w:p>
    <w:p>
      <w:p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协议的任何条款在任何方面的非法、无效或不可强制执行，不影响协议的其他条款的合法性、有效性或可强制执行。</w:t>
      </w:r>
    </w:p>
    <w:p>
      <w:pPr>
        <w:numPr>
          <w:ilvl w:val="0"/>
          <w:numId w:val="12"/>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税收条款</w:t>
      </w:r>
    </w:p>
    <w:p>
      <w:p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以对应期次的《理财产品说明书》约定的税务处理方式为准，如遇国家政策调整则相应执行最新政策。</w:t>
      </w:r>
    </w:p>
    <w:p>
      <w:pPr>
        <w:spacing w:line="240" w:lineRule="auto"/>
        <w:ind w:firstLine="442" w:firstLineChars="200"/>
        <w:rPr>
          <w:rFonts w:ascii="Times New Roman" w:hAnsi="Times New Roman"/>
          <w:spacing w:val="10"/>
          <w:sz w:val="20"/>
          <w:szCs w:val="20"/>
        </w:rPr>
      </w:pPr>
      <w:r>
        <w:rPr>
          <w:rFonts w:hint="eastAsia" w:ascii="Times New Roman" w:hAnsi="Times New Roman"/>
          <w:b/>
          <w:bCs/>
          <w:spacing w:val="10"/>
          <w:sz w:val="20"/>
          <w:szCs w:val="20"/>
        </w:rPr>
        <w:t>9</w:t>
      </w:r>
      <w:r>
        <w:rPr>
          <w:rFonts w:ascii="Times New Roman" w:hAnsi="Times New Roman"/>
          <w:b/>
          <w:bCs/>
          <w:spacing w:val="10"/>
          <w:sz w:val="20"/>
          <w:szCs w:val="20"/>
        </w:rPr>
        <w:t>.争议处理</w:t>
      </w:r>
    </w:p>
    <w:p>
      <w:p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本协议在履行过程中发生争议，可以通过协商解决；协商不成的，任何一方有权向甲方所在地有管辖权的人民法院提起诉讼。</w:t>
      </w:r>
    </w:p>
    <w:p>
      <w:pPr>
        <w:spacing w:line="240" w:lineRule="auto"/>
        <w:ind w:firstLine="442" w:firstLineChars="200"/>
        <w:rPr>
          <w:rFonts w:ascii="Times New Roman" w:hAnsi="Times New Roman"/>
          <w:b/>
          <w:bCs/>
          <w:spacing w:val="10"/>
          <w:sz w:val="20"/>
          <w:szCs w:val="20"/>
        </w:rPr>
      </w:pPr>
      <w:r>
        <w:rPr>
          <w:rFonts w:hint="eastAsia" w:ascii="Times New Roman" w:hAnsi="Times New Roman"/>
          <w:b/>
          <w:bCs/>
          <w:spacing w:val="10"/>
          <w:sz w:val="20"/>
          <w:szCs w:val="20"/>
        </w:rPr>
        <w:t>10</w:t>
      </w:r>
      <w:r>
        <w:rPr>
          <w:rFonts w:ascii="Times New Roman" w:hAnsi="Times New Roman"/>
          <w:b/>
          <w:bCs/>
          <w:spacing w:val="10"/>
          <w:sz w:val="20"/>
          <w:szCs w:val="20"/>
        </w:rPr>
        <w:t>.协议的生效和终止</w:t>
      </w:r>
    </w:p>
    <w:p>
      <w:pPr>
        <w:numPr>
          <w:ilvl w:val="0"/>
          <w:numId w:val="15"/>
        </w:numPr>
        <w:spacing w:line="240" w:lineRule="auto"/>
        <w:ind w:firstLine="340"/>
        <w:rPr>
          <w:rFonts w:ascii="Times New Roman" w:hAnsi="Times New Roman"/>
          <w:spacing w:val="10"/>
          <w:sz w:val="20"/>
          <w:szCs w:val="20"/>
        </w:rPr>
      </w:pPr>
      <w:r>
        <w:rPr>
          <w:rFonts w:ascii="Times New Roman" w:hAnsi="Times New Roman"/>
          <w:spacing w:val="10"/>
          <w:sz w:val="20"/>
          <w:szCs w:val="20"/>
        </w:rPr>
        <w:t>本协议书以纸质书面形式订立的情况下，乙方为个人投资者的，本协议自乙方</w:t>
      </w:r>
      <w:r>
        <w:rPr>
          <w:rFonts w:hint="eastAsia" w:ascii="Times New Roman" w:hAnsi="Times New Roman"/>
          <w:spacing w:val="10"/>
          <w:sz w:val="20"/>
          <w:szCs w:val="20"/>
        </w:rPr>
        <w:t>签名</w:t>
      </w:r>
      <w:r>
        <w:rPr>
          <w:rFonts w:ascii="Times New Roman" w:hAnsi="Times New Roman"/>
          <w:spacing w:val="10"/>
          <w:sz w:val="20"/>
          <w:szCs w:val="20"/>
        </w:rPr>
        <w:t>、成功缴纳购买资金并经甲方系统确认购买份额后成立并生效；乙方为机构投资者的，本协议自乙方法定代表人或授权代理人</w:t>
      </w:r>
      <w:r>
        <w:rPr>
          <w:rFonts w:hint="eastAsia" w:ascii="Times New Roman" w:hAnsi="Times New Roman"/>
          <w:spacing w:val="10"/>
          <w:sz w:val="20"/>
          <w:szCs w:val="20"/>
        </w:rPr>
        <w:t>签名</w:t>
      </w:r>
      <w:r>
        <w:rPr>
          <w:rFonts w:ascii="Times New Roman" w:hAnsi="Times New Roman"/>
          <w:spacing w:val="10"/>
          <w:sz w:val="20"/>
          <w:szCs w:val="20"/>
        </w:rPr>
        <w:t>或盖章并加盖公章或合同专用章、成功缴纳购买资金并经甲方系统确认购买份额后成立并生效。</w:t>
      </w:r>
    </w:p>
    <w:p>
      <w:p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本协议书以数据电文形式订立的，乙方</w:t>
      </w:r>
      <w:r>
        <w:rPr>
          <w:rFonts w:hint="eastAsia" w:ascii="Times New Roman" w:hAnsi="Times New Roman"/>
          <w:spacing w:val="10"/>
          <w:sz w:val="20"/>
          <w:szCs w:val="20"/>
        </w:rPr>
        <w:t>应</w:t>
      </w:r>
      <w:r>
        <w:rPr>
          <w:rFonts w:ascii="Times New Roman" w:hAnsi="Times New Roman"/>
          <w:spacing w:val="10"/>
          <w:sz w:val="20"/>
          <w:szCs w:val="20"/>
        </w:rPr>
        <w:t>在电子渠道</w:t>
      </w:r>
      <w:r>
        <w:rPr>
          <w:rFonts w:hint="eastAsia" w:ascii="Times New Roman" w:hAnsi="Times New Roman"/>
          <w:spacing w:val="10"/>
          <w:sz w:val="20"/>
          <w:szCs w:val="20"/>
        </w:rPr>
        <w:t>仔细阅读本协议的</w:t>
      </w:r>
      <w:r>
        <w:rPr>
          <w:rFonts w:ascii="Times New Roman" w:hAnsi="Times New Roman"/>
          <w:spacing w:val="10"/>
          <w:sz w:val="20"/>
          <w:szCs w:val="20"/>
        </w:rPr>
        <w:t>所有条款，对</w:t>
      </w:r>
      <w:r>
        <w:rPr>
          <w:rFonts w:hint="eastAsia" w:ascii="Times New Roman" w:hAnsi="Times New Roman"/>
          <w:spacing w:val="10"/>
          <w:sz w:val="20"/>
          <w:szCs w:val="20"/>
        </w:rPr>
        <w:t>本协议</w:t>
      </w:r>
      <w:r>
        <w:rPr>
          <w:rFonts w:ascii="Times New Roman" w:hAnsi="Times New Roman"/>
          <w:spacing w:val="10"/>
          <w:sz w:val="20"/>
          <w:szCs w:val="20"/>
        </w:rPr>
        <w:t>条款的含义及相应的法律后果</w:t>
      </w:r>
      <w:r>
        <w:rPr>
          <w:rFonts w:hint="eastAsia" w:ascii="Times New Roman" w:hAnsi="Times New Roman"/>
          <w:spacing w:val="10"/>
          <w:sz w:val="20"/>
          <w:szCs w:val="20"/>
        </w:rPr>
        <w:t>应</w:t>
      </w:r>
      <w:r>
        <w:rPr>
          <w:rFonts w:ascii="Times New Roman" w:hAnsi="Times New Roman"/>
          <w:spacing w:val="10"/>
          <w:sz w:val="20"/>
          <w:szCs w:val="20"/>
        </w:rPr>
        <w:t>全部知晓并充分理解，同意接受本协议约束。本协议自乙方成功缴纳购买资金并经甲方系统确认购买份额后成立并生效。</w:t>
      </w:r>
      <w:r>
        <w:rPr>
          <w:rFonts w:ascii="Times New Roman" w:hAnsi="Times New Roman"/>
          <w:b/>
          <w:bCs/>
          <w:spacing w:val="10"/>
          <w:sz w:val="20"/>
          <w:szCs w:val="20"/>
        </w:rPr>
        <w:t>电子渠道所生成和保留记载的相关电子数据及交易记录以及</w:t>
      </w:r>
      <w:r>
        <w:rPr>
          <w:rFonts w:hint="eastAsia" w:ascii="Times New Roman" w:hAnsi="Times New Roman"/>
          <w:b/>
          <w:bCs/>
          <w:spacing w:val="10"/>
          <w:sz w:val="20"/>
          <w:szCs w:val="20"/>
        </w:rPr>
        <w:t>销售机构</w:t>
      </w:r>
      <w:r>
        <w:rPr>
          <w:rFonts w:ascii="Times New Roman" w:hAnsi="Times New Roman"/>
          <w:b/>
          <w:bCs/>
          <w:spacing w:val="10"/>
          <w:sz w:val="20"/>
          <w:szCs w:val="20"/>
        </w:rPr>
        <w:t>、托管机构、甲方制作或保留的相关电子及纸质单据、凭证、记录等相关资料,构成有效证明甲乙双方之间权利义务关系的确定证据，乙方无条件认可电子数据的有效性和证据效力。</w:t>
      </w:r>
    </w:p>
    <w:p>
      <w:pPr>
        <w:numPr>
          <w:ilvl w:val="0"/>
          <w:numId w:val="15"/>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乙方在办理理财产品的购买、赎回等交易后，需通过</w:t>
      </w:r>
      <w:r>
        <w:rPr>
          <w:rFonts w:hint="eastAsia" w:ascii="Times New Roman" w:hAnsi="Times New Roman"/>
          <w:spacing w:val="10"/>
          <w:sz w:val="20"/>
          <w:szCs w:val="20"/>
        </w:rPr>
        <w:t>销售</w:t>
      </w:r>
      <w:r>
        <w:rPr>
          <w:rFonts w:ascii="Times New Roman" w:hAnsi="Times New Roman"/>
          <w:spacing w:val="10"/>
          <w:sz w:val="20"/>
          <w:szCs w:val="20"/>
        </w:rPr>
        <w:t>机构提供的渠道查询相关交易的确认情况，最终以甲方确认的产品购买金额、份额或赎回份额等作为《理财产品销售协议书》生效或终止的依据。</w:t>
      </w:r>
    </w:p>
    <w:p>
      <w:pPr>
        <w:numPr>
          <w:ilvl w:val="0"/>
          <w:numId w:val="15"/>
        </w:numPr>
        <w:spacing w:line="240" w:lineRule="auto"/>
        <w:ind w:firstLine="440" w:firstLineChars="200"/>
        <w:rPr>
          <w:rFonts w:ascii="Times New Roman" w:hAnsi="Times New Roman"/>
          <w:spacing w:val="10"/>
          <w:sz w:val="20"/>
          <w:szCs w:val="20"/>
        </w:rPr>
      </w:pPr>
      <w:r>
        <w:rPr>
          <w:rFonts w:ascii="Times New Roman" w:hAnsi="Times New Roman"/>
          <w:spacing w:val="10"/>
          <w:sz w:val="20"/>
          <w:szCs w:val="20"/>
        </w:rPr>
        <w:t>如乙方购买理财产品后，又变更该笔认/申购的具体内容（包括但不限于交易变更、金额变更、授权指定账户变更、投资者信息变更等），则以双方最近一次交易达成的交易内容为准。</w:t>
      </w:r>
    </w:p>
    <w:p>
      <w:pPr>
        <w:spacing w:line="240" w:lineRule="auto"/>
        <w:ind w:firstLine="442" w:firstLineChars="200"/>
        <w:rPr>
          <w:rFonts w:ascii="Times New Roman" w:hAnsi="Times New Roman"/>
          <w:b/>
          <w:bCs/>
          <w:spacing w:val="10"/>
          <w:sz w:val="20"/>
          <w:szCs w:val="20"/>
        </w:rPr>
      </w:pPr>
      <w:r>
        <w:rPr>
          <w:rFonts w:ascii="Times New Roman" w:hAnsi="Times New Roman"/>
          <w:b/>
          <w:bCs/>
          <w:spacing w:val="10"/>
          <w:sz w:val="20"/>
          <w:szCs w:val="20"/>
        </w:rPr>
        <w:t>1</w:t>
      </w:r>
      <w:r>
        <w:rPr>
          <w:rFonts w:hint="eastAsia" w:ascii="Times New Roman" w:hAnsi="Times New Roman"/>
          <w:b/>
          <w:bCs/>
          <w:spacing w:val="10"/>
          <w:sz w:val="20"/>
          <w:szCs w:val="20"/>
        </w:rPr>
        <w:t>1</w:t>
      </w:r>
      <w:r>
        <w:rPr>
          <w:rFonts w:ascii="Times New Roman" w:hAnsi="Times New Roman"/>
          <w:b/>
          <w:bCs/>
          <w:spacing w:val="10"/>
          <w:sz w:val="20"/>
          <w:szCs w:val="20"/>
        </w:rPr>
        <w:t>.乙方声明</w:t>
      </w:r>
    </w:p>
    <w:p>
      <w:pPr>
        <w:spacing w:line="240" w:lineRule="auto"/>
        <w:ind w:firstLine="442" w:firstLineChars="200"/>
        <w:rPr>
          <w:rFonts w:ascii="Times New Roman" w:hAnsi="Times New Roman"/>
          <w:b/>
          <w:spacing w:val="10"/>
          <w:sz w:val="20"/>
          <w:szCs w:val="20"/>
        </w:rPr>
      </w:pPr>
      <w:r>
        <w:rPr>
          <w:rFonts w:ascii="Times New Roman" w:hAnsi="Times New Roman"/>
          <w:b/>
          <w:spacing w:val="10"/>
          <w:sz w:val="20"/>
          <w:szCs w:val="20"/>
        </w:rPr>
        <w:t>在签署本理财产品协议书以前，甲方或</w:t>
      </w:r>
      <w:r>
        <w:rPr>
          <w:rFonts w:hint="eastAsia" w:ascii="Times New Roman" w:hAnsi="Times New Roman"/>
          <w:b/>
          <w:spacing w:val="10"/>
          <w:sz w:val="20"/>
          <w:szCs w:val="20"/>
        </w:rPr>
        <w:t>销售</w:t>
      </w:r>
      <w:r>
        <w:rPr>
          <w:rFonts w:ascii="Times New Roman" w:hAnsi="Times New Roman"/>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机构已根据本理财产品协议书及有关交易文件的条款就乙方提出的疑问向乙方进行了详细的说明和解释，乙方已认真阅读本理财产品协议条款及对应期次的《理财产品说明书》和《理财产品风险揭示书》</w:t>
      </w:r>
      <w:r>
        <w:rPr>
          <w:rFonts w:ascii="Times New Roman" w:hAnsi="Times New Roman"/>
          <w:b/>
          <w:bCs/>
          <w:spacing w:val="10"/>
          <w:sz w:val="20"/>
          <w:szCs w:val="20"/>
        </w:rPr>
        <w:t>《投资者权益须知》</w:t>
      </w:r>
      <w:r>
        <w:rPr>
          <w:rFonts w:ascii="Times New Roman" w:hAnsi="Times New Roman"/>
          <w:b/>
          <w:spacing w:val="10"/>
          <w:sz w:val="20"/>
          <w:szCs w:val="20"/>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pPr>
        <w:spacing w:line="240" w:lineRule="auto"/>
        <w:ind w:firstLine="442" w:firstLineChars="200"/>
        <w:rPr>
          <w:rFonts w:ascii="Times New Roman" w:hAnsi="Times New Roman"/>
          <w:b/>
          <w:spacing w:val="10"/>
          <w:sz w:val="20"/>
          <w:szCs w:val="20"/>
        </w:rPr>
      </w:pPr>
      <w:r>
        <w:rPr>
          <w:rFonts w:ascii="Times New Roman" w:hAnsi="Times New Roman"/>
          <w:b/>
          <w:spacing w:val="10"/>
          <w:sz w:val="20"/>
          <w:szCs w:val="20"/>
        </w:rPr>
        <w:t>乙方授权甲方、</w:t>
      </w:r>
      <w:r>
        <w:rPr>
          <w:rFonts w:hint="eastAsia" w:ascii="Times New Roman" w:hAnsi="Times New Roman"/>
          <w:b/>
          <w:spacing w:val="10"/>
          <w:sz w:val="20"/>
          <w:szCs w:val="20"/>
        </w:rPr>
        <w:t>销售</w:t>
      </w:r>
      <w:r>
        <w:rPr>
          <w:rFonts w:ascii="Times New Roman" w:hAnsi="Times New Roman"/>
          <w:b/>
          <w:spacing w:val="10"/>
          <w:sz w:val="20"/>
          <w:szCs w:val="20"/>
        </w:rPr>
        <w:t>机构于募集期或开放期或投资冷静期（私募产品适用）结束后从乙方授权指定账户扣划相应的认购或申购资金。对此甲方、</w:t>
      </w:r>
      <w:r>
        <w:rPr>
          <w:rFonts w:hint="eastAsia" w:ascii="Times New Roman" w:hAnsi="Times New Roman"/>
          <w:b/>
          <w:spacing w:val="10"/>
          <w:sz w:val="20"/>
          <w:szCs w:val="20"/>
        </w:rPr>
        <w:t>销售</w:t>
      </w:r>
      <w:r>
        <w:rPr>
          <w:rFonts w:ascii="Times New Roman" w:hAnsi="Times New Roman"/>
          <w:b/>
          <w:spacing w:val="10"/>
          <w:sz w:val="20"/>
          <w:szCs w:val="20"/>
        </w:rPr>
        <w:t>机构无需另行征得乙方同意或给予通知，无需在划款时以电话等方式与乙方进行最后确认。对于风险较高或投资者单笔购买金额较大的理财产品，同样适用上述划款操作规则。</w:t>
      </w:r>
    </w:p>
    <w:p>
      <w:pPr>
        <w:spacing w:line="240" w:lineRule="auto"/>
        <w:ind w:firstLine="442" w:firstLineChars="200"/>
        <w:rPr>
          <w:rFonts w:ascii="Times New Roman" w:hAnsi="Times New Roman"/>
          <w:b/>
          <w:bCs/>
          <w:spacing w:val="10"/>
          <w:sz w:val="20"/>
          <w:szCs w:val="20"/>
        </w:rPr>
      </w:pPr>
      <w:r>
        <w:rPr>
          <w:rFonts w:ascii="Times New Roman" w:hAnsi="Times New Roman"/>
          <w:b/>
          <w:bCs/>
          <w:spacing w:val="10"/>
          <w:sz w:val="20"/>
          <w:szCs w:val="20"/>
        </w:rPr>
        <w:t>1</w:t>
      </w:r>
      <w:r>
        <w:rPr>
          <w:rFonts w:hint="eastAsia" w:ascii="Times New Roman" w:hAnsi="Times New Roman"/>
          <w:b/>
          <w:bCs/>
          <w:spacing w:val="10"/>
          <w:sz w:val="20"/>
          <w:szCs w:val="20"/>
        </w:rPr>
        <w:t>2</w:t>
      </w:r>
      <w:r>
        <w:rPr>
          <w:rFonts w:ascii="Times New Roman" w:hAnsi="Times New Roman"/>
          <w:b/>
          <w:bCs/>
          <w:spacing w:val="10"/>
          <w:sz w:val="20"/>
          <w:szCs w:val="20"/>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bookmarkStart w:id="31" w:name="_Toc313550351"/>
    </w:p>
    <w:p>
      <w:pPr>
        <w:spacing w:line="240" w:lineRule="auto"/>
        <w:ind w:firstLine="440" w:firstLineChars="200"/>
        <w:rPr>
          <w:rFonts w:ascii="Times New Roman" w:hAnsi="Times New Roman"/>
          <w:spacing w:val="10"/>
          <w:sz w:val="20"/>
          <w:szCs w:val="20"/>
        </w:rPr>
      </w:pPr>
    </w:p>
    <w:p>
      <w:pPr>
        <w:spacing w:line="240" w:lineRule="auto"/>
        <w:ind w:firstLine="440" w:firstLineChars="200"/>
        <w:rPr>
          <w:rFonts w:ascii="Times New Roman" w:hAnsi="Times New Roman"/>
          <w:spacing w:val="10"/>
          <w:sz w:val="20"/>
          <w:szCs w:val="20"/>
        </w:rPr>
      </w:pP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1"/>
        <w:gridCol w:w="5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1" w:type="dxa"/>
          </w:tcPr>
          <w:p>
            <w:pPr>
              <w:spacing w:line="240" w:lineRule="auto"/>
              <w:rPr>
                <w:rFonts w:ascii="Times New Roman" w:hAnsi="Times New Roman"/>
                <w:spacing w:val="10"/>
                <w:sz w:val="20"/>
                <w:szCs w:val="20"/>
              </w:rPr>
            </w:pPr>
            <w:r>
              <w:rPr>
                <w:rFonts w:ascii="Times New Roman" w:hAnsi="Times New Roman"/>
                <w:spacing w:val="10"/>
                <w:sz w:val="20"/>
                <w:szCs w:val="20"/>
              </w:rPr>
              <w:t>个人投资者（如适用）：</w:t>
            </w:r>
          </w:p>
        </w:tc>
        <w:tc>
          <w:tcPr>
            <w:tcW w:w="5341" w:type="dxa"/>
          </w:tcPr>
          <w:p>
            <w:pPr>
              <w:spacing w:line="240" w:lineRule="auto"/>
              <w:rPr>
                <w:rFonts w:ascii="Times New Roman" w:hAnsi="Times New Roman"/>
                <w:spacing w:val="10"/>
                <w:sz w:val="20"/>
                <w:szCs w:val="20"/>
              </w:rPr>
            </w:pPr>
            <w:r>
              <w:rPr>
                <w:rFonts w:ascii="Times New Roman" w:hAnsi="Times New Roman"/>
                <w:spacing w:val="10"/>
                <w:sz w:val="20"/>
                <w:szCs w:val="20"/>
              </w:rPr>
              <w:t>机构投资者（如适用）：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41" w:type="dxa"/>
          </w:tcPr>
          <w:p>
            <w:pPr>
              <w:spacing w:line="240" w:lineRule="auto"/>
              <w:ind w:firstLine="440" w:firstLineChars="200"/>
              <w:rPr>
                <w:rFonts w:ascii="Times New Roman" w:hAnsi="Times New Roman"/>
                <w:spacing w:val="10"/>
                <w:sz w:val="20"/>
                <w:szCs w:val="20"/>
              </w:rPr>
            </w:pPr>
          </w:p>
          <w:p>
            <w:pPr>
              <w:spacing w:line="240" w:lineRule="auto"/>
              <w:rPr>
                <w:rFonts w:ascii="Times New Roman" w:hAnsi="Times New Roman"/>
                <w:spacing w:val="10"/>
                <w:sz w:val="20"/>
                <w:szCs w:val="20"/>
              </w:rPr>
            </w:pPr>
            <w:r>
              <w:rPr>
                <w:rFonts w:ascii="Times New Roman" w:hAnsi="Times New Roman"/>
                <w:spacing w:val="10"/>
                <w:sz w:val="20"/>
                <w:szCs w:val="20"/>
              </w:rPr>
              <w:t>投资者：（</w:t>
            </w:r>
            <w:r>
              <w:rPr>
                <w:rFonts w:hint="eastAsia" w:ascii="Times New Roman" w:hAnsi="Times New Roman"/>
                <w:spacing w:val="10"/>
                <w:sz w:val="20"/>
                <w:szCs w:val="20"/>
              </w:rPr>
              <w:t>签名</w:t>
            </w:r>
            <w:r>
              <w:rPr>
                <w:rFonts w:ascii="Times New Roman" w:hAnsi="Times New Roman"/>
                <w:spacing w:val="10"/>
                <w:sz w:val="20"/>
                <w:szCs w:val="20"/>
              </w:rPr>
              <w:t>）</w:t>
            </w:r>
          </w:p>
          <w:p>
            <w:pPr>
              <w:spacing w:line="240" w:lineRule="auto"/>
              <w:ind w:firstLine="880" w:firstLineChars="400"/>
              <w:rPr>
                <w:rFonts w:ascii="Times New Roman" w:hAnsi="Times New Roman"/>
                <w:spacing w:val="10"/>
                <w:sz w:val="20"/>
                <w:szCs w:val="20"/>
              </w:rPr>
            </w:pPr>
          </w:p>
          <w:p>
            <w:pPr>
              <w:spacing w:line="240" w:lineRule="auto"/>
              <w:ind w:firstLine="1100" w:firstLineChars="500"/>
              <w:rPr>
                <w:rFonts w:ascii="Times New Roman" w:hAnsi="Times New Roman"/>
                <w:spacing w:val="10"/>
                <w:sz w:val="20"/>
                <w:szCs w:val="20"/>
              </w:rPr>
            </w:pPr>
          </w:p>
          <w:p>
            <w:pPr>
              <w:spacing w:line="240" w:lineRule="auto"/>
              <w:ind w:firstLine="1100" w:firstLineChars="500"/>
              <w:rPr>
                <w:rFonts w:ascii="Times New Roman" w:hAnsi="Times New Roman"/>
                <w:spacing w:val="10"/>
                <w:sz w:val="20"/>
                <w:szCs w:val="20"/>
              </w:rPr>
            </w:pPr>
            <w:r>
              <w:rPr>
                <w:rFonts w:ascii="Times New Roman" w:hAnsi="Times New Roman"/>
                <w:spacing w:val="10"/>
                <w:sz w:val="20"/>
                <w:szCs w:val="20"/>
              </w:rPr>
              <w:t>年月日</w:t>
            </w:r>
          </w:p>
        </w:tc>
        <w:tc>
          <w:tcPr>
            <w:tcW w:w="5341" w:type="dxa"/>
          </w:tcPr>
          <w:p>
            <w:pPr>
              <w:spacing w:line="240" w:lineRule="auto"/>
              <w:ind w:firstLine="440" w:firstLineChars="200"/>
              <w:rPr>
                <w:rFonts w:ascii="Times New Roman" w:hAnsi="Times New Roman"/>
                <w:spacing w:val="10"/>
                <w:sz w:val="20"/>
                <w:szCs w:val="20"/>
              </w:rPr>
            </w:pPr>
          </w:p>
          <w:p>
            <w:pPr>
              <w:spacing w:line="240" w:lineRule="auto"/>
              <w:rPr>
                <w:rFonts w:ascii="Times New Roman" w:hAnsi="Times New Roman"/>
                <w:spacing w:val="10"/>
                <w:sz w:val="20"/>
                <w:szCs w:val="20"/>
              </w:rPr>
            </w:pPr>
            <w:r>
              <w:rPr>
                <w:rFonts w:ascii="Times New Roman" w:hAnsi="Times New Roman"/>
                <w:spacing w:val="10"/>
                <w:sz w:val="20"/>
                <w:szCs w:val="20"/>
              </w:rPr>
              <w:t>投资者：（</w:t>
            </w:r>
            <w:r>
              <w:rPr>
                <w:rFonts w:hint="eastAsia" w:ascii="Times New Roman" w:hAnsi="Times New Roman"/>
                <w:spacing w:val="10"/>
                <w:sz w:val="20"/>
                <w:szCs w:val="20"/>
              </w:rPr>
              <w:t>公</w:t>
            </w:r>
            <w:r>
              <w:rPr>
                <w:rFonts w:ascii="Times New Roman" w:hAnsi="Times New Roman"/>
                <w:spacing w:val="10"/>
                <w:sz w:val="20"/>
                <w:szCs w:val="20"/>
              </w:rPr>
              <w:t>章</w:t>
            </w:r>
            <w:r>
              <w:rPr>
                <w:rFonts w:hint="eastAsia" w:ascii="Times New Roman" w:hAnsi="Times New Roman"/>
                <w:spacing w:val="10"/>
                <w:sz w:val="20"/>
                <w:szCs w:val="20"/>
              </w:rPr>
              <w:t>或合同专用章</w:t>
            </w:r>
            <w:r>
              <w:rPr>
                <w:rFonts w:ascii="Times New Roman" w:hAnsi="Times New Roman"/>
                <w:spacing w:val="10"/>
                <w:sz w:val="20"/>
                <w:szCs w:val="20"/>
              </w:rPr>
              <w:t>）</w:t>
            </w:r>
          </w:p>
          <w:p>
            <w:pPr>
              <w:spacing w:line="240" w:lineRule="auto"/>
              <w:rPr>
                <w:rFonts w:ascii="Times New Roman" w:hAnsi="Times New Roman"/>
                <w:spacing w:val="10"/>
                <w:sz w:val="20"/>
                <w:szCs w:val="20"/>
              </w:rPr>
            </w:pPr>
          </w:p>
          <w:p>
            <w:pPr>
              <w:spacing w:line="240" w:lineRule="auto"/>
              <w:rPr>
                <w:rFonts w:ascii="Times New Roman" w:hAnsi="Times New Roman"/>
                <w:spacing w:val="10"/>
                <w:sz w:val="20"/>
                <w:szCs w:val="20"/>
              </w:rPr>
            </w:pPr>
          </w:p>
          <w:p>
            <w:pPr>
              <w:spacing w:line="240" w:lineRule="auto"/>
              <w:rPr>
                <w:rFonts w:ascii="Times New Roman" w:hAnsi="Times New Roman"/>
                <w:spacing w:val="10"/>
                <w:sz w:val="20"/>
                <w:szCs w:val="20"/>
              </w:rPr>
            </w:pPr>
            <w:r>
              <w:rPr>
                <w:rFonts w:ascii="Times New Roman" w:hAnsi="Times New Roman"/>
                <w:spacing w:val="10"/>
                <w:sz w:val="20"/>
                <w:szCs w:val="20"/>
              </w:rPr>
              <w:t>法定代表人或授权代理人：（</w:t>
            </w:r>
            <w:r>
              <w:rPr>
                <w:rFonts w:hint="eastAsia" w:ascii="Times New Roman" w:hAnsi="Times New Roman"/>
                <w:spacing w:val="10"/>
                <w:sz w:val="20"/>
                <w:szCs w:val="20"/>
              </w:rPr>
              <w:t>签名</w:t>
            </w:r>
            <w:r>
              <w:rPr>
                <w:rFonts w:ascii="Times New Roman" w:hAnsi="Times New Roman"/>
                <w:spacing w:val="10"/>
                <w:sz w:val="20"/>
                <w:szCs w:val="20"/>
              </w:rPr>
              <w:t>或盖章）</w:t>
            </w:r>
          </w:p>
          <w:p>
            <w:pPr>
              <w:spacing w:line="240" w:lineRule="auto"/>
              <w:ind w:firstLine="880" w:firstLineChars="400"/>
              <w:rPr>
                <w:rFonts w:ascii="Times New Roman" w:hAnsi="Times New Roman"/>
                <w:spacing w:val="10"/>
                <w:sz w:val="20"/>
                <w:szCs w:val="20"/>
              </w:rPr>
            </w:pPr>
          </w:p>
          <w:p>
            <w:pPr>
              <w:spacing w:line="240" w:lineRule="auto"/>
              <w:ind w:firstLine="880" w:firstLineChars="400"/>
              <w:rPr>
                <w:rFonts w:ascii="Times New Roman" w:hAnsi="Times New Roman"/>
                <w:spacing w:val="10"/>
                <w:sz w:val="20"/>
                <w:szCs w:val="20"/>
              </w:rPr>
            </w:pPr>
            <w:r>
              <w:rPr>
                <w:rFonts w:ascii="Times New Roman" w:hAnsi="Times New Roman"/>
                <w:spacing w:val="10"/>
                <w:sz w:val="20"/>
                <w:szCs w:val="20"/>
              </w:rPr>
              <w:t>年月日</w:t>
            </w:r>
          </w:p>
        </w:tc>
      </w:tr>
      <w:bookmarkEnd w:id="31"/>
    </w:tbl>
    <w:p>
      <w:pPr>
        <w:spacing w:line="240" w:lineRule="auto"/>
        <w:rPr>
          <w:sz w:val="22"/>
          <w:szCs w:val="22"/>
        </w:rPr>
      </w:pPr>
    </w:p>
    <w:p>
      <w:r>
        <w:br w:type="page"/>
      </w:r>
    </w:p>
    <w:p>
      <w:pPr>
        <w:jc w:val="center"/>
        <w:rPr>
          <w:rFonts w:ascii="黑体" w:hAnsi="宋体" w:eastAsia="黑体"/>
          <w:b/>
          <w:bCs/>
          <w:sz w:val="24"/>
          <w:szCs w:val="24"/>
        </w:rPr>
      </w:pPr>
      <w:r>
        <w:rPr>
          <w:rFonts w:hint="eastAsia" w:ascii="黑体" w:hAnsi="宋体" w:eastAsia="黑体"/>
          <w:b/>
          <w:bCs/>
          <w:sz w:val="24"/>
          <w:szCs w:val="24"/>
        </w:rPr>
        <w:t>投资者权益须知</w:t>
      </w:r>
    </w:p>
    <w:p>
      <w:pPr>
        <w:ind w:firstLine="482" w:firstLineChars="200"/>
        <w:jc w:val="center"/>
        <w:rPr>
          <w:rFonts w:ascii="宋体" w:hAnsi="宋体"/>
          <w:b/>
          <w:i/>
          <w:sz w:val="24"/>
          <w:szCs w:val="24"/>
          <w:u w:val="single"/>
        </w:rPr>
      </w:pPr>
    </w:p>
    <w:p>
      <w:pPr>
        <w:ind w:firstLine="482" w:firstLineChars="200"/>
        <w:jc w:val="center"/>
        <w:rPr>
          <w:rFonts w:ascii="宋体" w:hAnsi="宋体"/>
          <w:b/>
          <w:i/>
          <w:sz w:val="24"/>
          <w:szCs w:val="24"/>
          <w:u w:val="single"/>
        </w:rPr>
      </w:pPr>
      <w:r>
        <w:rPr>
          <w:rFonts w:hint="eastAsia" w:ascii="宋体" w:hAnsi="宋体"/>
          <w:b/>
          <w:i/>
          <w:sz w:val="24"/>
          <w:szCs w:val="24"/>
          <w:u w:val="single"/>
        </w:rPr>
        <w:t xml:space="preserve">“理财非存款、产品有风险、理财产品过往业绩不代表其未来表现，不等于理财产品实际收益，投资须谨慎！” </w:t>
      </w:r>
    </w:p>
    <w:p>
      <w:pPr>
        <w:pStyle w:val="13"/>
        <w:spacing w:before="0" w:after="0" w:line="240" w:lineRule="auto"/>
        <w:ind w:firstLine="0"/>
        <w:rPr>
          <w:color w:val="auto"/>
          <w:spacing w:val="10"/>
          <w:kern w:val="2"/>
          <w:sz w:val="24"/>
          <w:szCs w:val="24"/>
        </w:rPr>
      </w:pPr>
      <w:r>
        <w:rPr>
          <w:rFonts w:hint="eastAsia"/>
          <w:color w:val="auto"/>
          <w:spacing w:val="10"/>
          <w:kern w:val="2"/>
          <w:sz w:val="24"/>
          <w:szCs w:val="24"/>
        </w:rPr>
        <w:t>尊敬的投资者：</w:t>
      </w:r>
    </w:p>
    <w:p>
      <w:pPr>
        <w:pStyle w:val="13"/>
        <w:spacing w:before="0" w:after="0" w:line="240" w:lineRule="auto"/>
        <w:ind w:firstLine="520" w:firstLineChars="200"/>
        <w:jc w:val="both"/>
        <w:rPr>
          <w:color w:val="auto"/>
          <w:spacing w:val="10"/>
          <w:kern w:val="2"/>
          <w:sz w:val="24"/>
          <w:szCs w:val="24"/>
        </w:rPr>
      </w:pPr>
      <w:r>
        <w:rPr>
          <w:rFonts w:hint="eastAsia"/>
          <w:color w:val="auto"/>
          <w:spacing w:val="10"/>
          <w:kern w:val="2"/>
          <w:sz w:val="24"/>
          <w:szCs w:val="24"/>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pPr>
        <w:pStyle w:val="13"/>
        <w:spacing w:before="0" w:after="0" w:line="240" w:lineRule="auto"/>
        <w:ind w:firstLine="520" w:firstLineChars="200"/>
        <w:jc w:val="both"/>
        <w:rPr>
          <w:color w:val="auto"/>
          <w:spacing w:val="10"/>
          <w:kern w:val="2"/>
          <w:sz w:val="24"/>
          <w:szCs w:val="24"/>
        </w:rPr>
      </w:pPr>
      <w:r>
        <w:rPr>
          <w:rFonts w:hint="eastAsia"/>
          <w:color w:val="auto"/>
          <w:spacing w:val="10"/>
          <w:kern w:val="2"/>
          <w:sz w:val="24"/>
          <w:szCs w:val="24"/>
        </w:rPr>
        <w:t>本理财产品指由南银理财作为管理人发行，并由</w:t>
      </w:r>
      <w:permStart w:id="0" w:edGrp="everyone"/>
      <w:r>
        <w:rPr>
          <w:rFonts w:hint="eastAsia"/>
          <w:color w:val="auto"/>
          <w:spacing w:val="10"/>
          <w:kern w:val="2"/>
          <w:sz w:val="24"/>
          <w:szCs w:val="24"/>
        </w:rPr>
        <w:t xml:space="preserve"> </w:t>
      </w:r>
      <w:r>
        <w:rPr>
          <w:rFonts w:hint="eastAsia"/>
          <w:spacing w:val="10"/>
          <w:sz w:val="24"/>
          <w:szCs w:val="24"/>
          <w:lang w:eastAsia="zh-CN"/>
        </w:rPr>
        <w:t>石嘴山银行股份有限公司</w:t>
      </w:r>
      <w:r>
        <w:rPr>
          <w:rFonts w:hint="eastAsia"/>
          <w:color w:val="auto"/>
          <w:spacing w:val="10"/>
          <w:kern w:val="2"/>
          <w:sz w:val="24"/>
          <w:szCs w:val="24"/>
        </w:rPr>
        <w:t xml:space="preserve"> </w:t>
      </w:r>
      <w:permEnd w:id="0"/>
      <w:r>
        <w:rPr>
          <w:rFonts w:hint="eastAsia"/>
          <w:color w:val="auto"/>
          <w:spacing w:val="10"/>
          <w:kern w:val="2"/>
          <w:sz w:val="24"/>
          <w:szCs w:val="24"/>
        </w:rPr>
        <w:t>（以下简称“销售机构”）销售的理财产品。</w:t>
      </w:r>
    </w:p>
    <w:p>
      <w:pPr>
        <w:pStyle w:val="13"/>
        <w:spacing w:line="240" w:lineRule="auto"/>
        <w:ind w:left="341" w:firstLine="0"/>
        <w:jc w:val="both"/>
        <w:rPr>
          <w:b/>
          <w:color w:val="auto"/>
          <w:spacing w:val="10"/>
          <w:kern w:val="2"/>
          <w:sz w:val="24"/>
          <w:szCs w:val="24"/>
        </w:rPr>
      </w:pPr>
      <w:r>
        <w:rPr>
          <w:rFonts w:hint="eastAsia"/>
          <w:b/>
          <w:color w:val="auto"/>
          <w:spacing w:val="10"/>
          <w:kern w:val="2"/>
          <w:sz w:val="24"/>
          <w:szCs w:val="24"/>
        </w:rPr>
        <w:t>第一条 理财产品购买流程说明</w:t>
      </w:r>
    </w:p>
    <w:p>
      <w:pPr>
        <w:pStyle w:val="13"/>
        <w:spacing w:before="0" w:after="0" w:line="240" w:lineRule="auto"/>
        <w:ind w:firstLine="520" w:firstLineChars="200"/>
        <w:jc w:val="both"/>
        <w:rPr>
          <w:bCs/>
          <w:color w:val="auto"/>
          <w:spacing w:val="10"/>
          <w:kern w:val="2"/>
          <w:sz w:val="24"/>
          <w:szCs w:val="24"/>
        </w:rPr>
      </w:pPr>
      <w:r>
        <w:rPr>
          <w:rFonts w:hint="eastAsia"/>
          <w:bCs/>
          <w:color w:val="auto"/>
          <w:spacing w:val="10"/>
          <w:kern w:val="2"/>
          <w:sz w:val="24"/>
          <w:szCs w:val="24"/>
        </w:rPr>
        <w:t>（一）首次在销售机构购买理财产品的投资者应按销售机构的要求明确授权指定账户，用于本理财产品的理财资金划转及理财收益、到期清算分配资金的分配，提供并确认正确的联系方式。</w:t>
      </w:r>
    </w:p>
    <w:p>
      <w:pPr>
        <w:pStyle w:val="13"/>
        <w:spacing w:before="0" w:after="0" w:line="240" w:lineRule="auto"/>
        <w:ind w:firstLine="517" w:firstLineChars="199"/>
        <w:jc w:val="both"/>
        <w:rPr>
          <w:bCs/>
          <w:color w:val="auto"/>
          <w:spacing w:val="10"/>
          <w:kern w:val="2"/>
          <w:sz w:val="24"/>
          <w:szCs w:val="24"/>
        </w:rPr>
      </w:pPr>
      <w:r>
        <w:rPr>
          <w:rFonts w:hint="eastAsia"/>
          <w:bCs/>
          <w:color w:val="auto"/>
          <w:spacing w:val="10"/>
          <w:kern w:val="2"/>
          <w:sz w:val="24"/>
          <w:szCs w:val="24"/>
        </w:rPr>
        <w:t>（二）在销售机构购买理财产品的个人投资者应按销售机构的要求进行投资者风险承受能力评估，并确认风险承受能力等级不低于本理财产品风险等级。</w:t>
      </w:r>
    </w:p>
    <w:p>
      <w:pPr>
        <w:pStyle w:val="13"/>
        <w:spacing w:before="0" w:after="0" w:line="240" w:lineRule="auto"/>
        <w:ind w:firstLine="517" w:firstLineChars="199"/>
        <w:jc w:val="both"/>
        <w:rPr>
          <w:bCs/>
          <w:color w:val="auto"/>
          <w:spacing w:val="10"/>
          <w:kern w:val="2"/>
          <w:sz w:val="24"/>
          <w:szCs w:val="24"/>
        </w:rPr>
      </w:pPr>
      <w:r>
        <w:rPr>
          <w:rFonts w:hint="eastAsia"/>
          <w:bCs/>
          <w:color w:val="auto"/>
          <w:spacing w:val="10"/>
          <w:kern w:val="2"/>
          <w:sz w:val="24"/>
          <w:szCs w:val="24"/>
        </w:rPr>
        <w:t>（三）投资者应仔细阅读拟购买理财产品销售文件（以下简称“销售文件”），包括但不限于理财产品对应的：《理财产品销售协议书》《理财产品说明书》《理财产品风险揭示书》《投资者权益须知》</w:t>
      </w:r>
      <w:r>
        <w:rPr>
          <w:bCs/>
          <w:spacing w:val="10"/>
          <w:sz w:val="24"/>
          <w:szCs w:val="24"/>
        </w:rPr>
        <w:t>《</w:t>
      </w:r>
      <w:r>
        <w:rPr>
          <w:bCs/>
          <w:spacing w:val="10"/>
          <w:kern w:val="2"/>
          <w:sz w:val="24"/>
          <w:szCs w:val="24"/>
        </w:rPr>
        <w:t>理财产品投资协议书》</w:t>
      </w:r>
      <w:r>
        <w:rPr>
          <w:rFonts w:hint="eastAsia"/>
          <w:bCs/>
          <w:color w:val="auto"/>
          <w:spacing w:val="10"/>
          <w:kern w:val="2"/>
          <w:sz w:val="24"/>
          <w:szCs w:val="24"/>
        </w:rPr>
        <w:t>等，理解并确认理财产品条款及产品风险。</w:t>
      </w:r>
    </w:p>
    <w:p>
      <w:pPr>
        <w:pStyle w:val="13"/>
        <w:spacing w:before="0" w:after="0" w:line="240" w:lineRule="auto"/>
        <w:ind w:firstLine="480"/>
        <w:jc w:val="both"/>
        <w:rPr>
          <w:bCs/>
          <w:color w:val="auto"/>
          <w:spacing w:val="10"/>
          <w:kern w:val="2"/>
          <w:sz w:val="24"/>
          <w:szCs w:val="24"/>
        </w:rPr>
      </w:pPr>
      <w:r>
        <w:rPr>
          <w:rFonts w:hint="eastAsia"/>
          <w:bCs/>
          <w:color w:val="auto"/>
          <w:spacing w:val="10"/>
          <w:kern w:val="2"/>
          <w:sz w:val="24"/>
          <w:szCs w:val="24"/>
        </w:rPr>
        <w:t>投资者在销售机构提供的渠道自主决定是否购买理财产品，确定购买金额，完成交易申请，并在确认份额后进行查询。</w:t>
      </w:r>
    </w:p>
    <w:p>
      <w:pPr>
        <w:pStyle w:val="13"/>
        <w:spacing w:before="0" w:after="0" w:line="240" w:lineRule="auto"/>
        <w:ind w:firstLine="480"/>
        <w:jc w:val="both"/>
        <w:rPr>
          <w:bCs/>
          <w:color w:val="auto"/>
          <w:spacing w:val="10"/>
          <w:kern w:val="2"/>
          <w:sz w:val="24"/>
          <w:szCs w:val="24"/>
        </w:rPr>
      </w:pPr>
      <w:permStart w:id="1" w:edGrp="everyone"/>
      <w:r>
        <w:rPr>
          <w:rFonts w:hint="eastAsia"/>
          <w:bCs/>
          <w:color w:val="auto"/>
          <w:spacing w:val="10"/>
          <w:kern w:val="2"/>
          <w:sz w:val="24"/>
          <w:szCs w:val="24"/>
        </w:rPr>
        <w:t>通过代销机构购买理财产品的具体流程说明：</w:t>
      </w:r>
    </w:p>
    <w:p>
      <w:pPr>
        <w:pStyle w:val="13"/>
        <w:spacing w:before="0" w:after="0" w:line="240" w:lineRule="auto"/>
        <w:ind w:firstLine="520" w:firstLineChars="200"/>
        <w:jc w:val="both"/>
        <w:rPr>
          <w:bCs/>
          <w:color w:val="auto"/>
          <w:spacing w:val="10"/>
          <w:kern w:val="2"/>
          <w:sz w:val="24"/>
          <w:szCs w:val="24"/>
        </w:rPr>
      </w:pPr>
      <w:r>
        <w:rPr>
          <w:bCs/>
          <w:color w:val="auto"/>
          <w:spacing w:val="10"/>
          <w:kern w:val="2"/>
          <w:sz w:val="24"/>
          <w:szCs w:val="24"/>
        </w:rPr>
        <w:t>1</w:t>
      </w:r>
      <w:r>
        <w:rPr>
          <w:rFonts w:hint="eastAsia"/>
          <w:bCs/>
          <w:color w:val="auto"/>
          <w:spacing w:val="10"/>
          <w:kern w:val="2"/>
          <w:sz w:val="24"/>
          <w:szCs w:val="24"/>
        </w:rPr>
        <w:t>、理财签约</w:t>
      </w:r>
    </w:p>
    <w:p>
      <w:pPr>
        <w:pStyle w:val="13"/>
        <w:spacing w:before="0" w:after="0" w:line="240" w:lineRule="auto"/>
        <w:ind w:firstLine="520" w:firstLineChars="200"/>
        <w:jc w:val="both"/>
        <w:rPr>
          <w:bCs/>
          <w:color w:val="auto"/>
          <w:spacing w:val="10"/>
          <w:kern w:val="2"/>
          <w:sz w:val="24"/>
          <w:szCs w:val="24"/>
        </w:rPr>
      </w:pPr>
      <w:r>
        <w:rPr>
          <w:rFonts w:hint="eastAsia"/>
          <w:bCs/>
          <w:color w:val="auto"/>
          <w:spacing w:val="10"/>
          <w:kern w:val="2"/>
          <w:sz w:val="24"/>
          <w:szCs w:val="24"/>
        </w:rPr>
        <w:t>首次购买理财的投资者须进行风险承受能力评估（详见第二条）和理财签约。</w:t>
      </w:r>
    </w:p>
    <w:p>
      <w:pPr>
        <w:pStyle w:val="13"/>
        <w:spacing w:before="0" w:after="0" w:line="240" w:lineRule="auto"/>
        <w:ind w:firstLine="520" w:firstLineChars="200"/>
        <w:jc w:val="both"/>
        <w:rPr>
          <w:bCs/>
          <w:color w:val="auto"/>
          <w:spacing w:val="10"/>
          <w:kern w:val="2"/>
          <w:sz w:val="24"/>
          <w:szCs w:val="24"/>
        </w:rPr>
      </w:pPr>
      <w:r>
        <w:rPr>
          <w:bCs/>
          <w:color w:val="auto"/>
          <w:spacing w:val="10"/>
          <w:kern w:val="2"/>
          <w:sz w:val="24"/>
          <w:szCs w:val="24"/>
        </w:rPr>
        <w:t>2</w:t>
      </w:r>
      <w:r>
        <w:rPr>
          <w:rFonts w:hint="eastAsia"/>
          <w:bCs/>
          <w:color w:val="auto"/>
          <w:spacing w:val="10"/>
          <w:kern w:val="2"/>
          <w:sz w:val="24"/>
          <w:szCs w:val="24"/>
        </w:rPr>
        <w:t>、理财产品认</w:t>
      </w:r>
      <w:r>
        <w:rPr>
          <w:bCs/>
          <w:color w:val="auto"/>
          <w:spacing w:val="10"/>
          <w:kern w:val="2"/>
          <w:sz w:val="24"/>
          <w:szCs w:val="24"/>
        </w:rPr>
        <w:t>/</w:t>
      </w:r>
      <w:r>
        <w:rPr>
          <w:rFonts w:hint="eastAsia"/>
          <w:bCs/>
          <w:color w:val="auto"/>
          <w:spacing w:val="10"/>
          <w:kern w:val="2"/>
          <w:sz w:val="24"/>
          <w:szCs w:val="24"/>
        </w:rPr>
        <w:t>申购申请</w:t>
      </w:r>
    </w:p>
    <w:p>
      <w:pPr>
        <w:pStyle w:val="13"/>
        <w:spacing w:before="0" w:after="0" w:line="240" w:lineRule="auto"/>
        <w:ind w:firstLine="520" w:firstLineChars="200"/>
        <w:jc w:val="both"/>
        <w:rPr>
          <w:bCs/>
          <w:color w:val="auto"/>
          <w:spacing w:val="10"/>
          <w:kern w:val="2"/>
          <w:sz w:val="24"/>
          <w:szCs w:val="24"/>
        </w:rPr>
      </w:pPr>
      <w:r>
        <w:rPr>
          <w:rFonts w:hint="eastAsia"/>
          <w:bCs/>
          <w:color w:val="auto"/>
          <w:spacing w:val="10"/>
          <w:kern w:val="2"/>
          <w:sz w:val="24"/>
          <w:szCs w:val="24"/>
        </w:rPr>
        <w:t>投资者自主决定是否购买理财产品。在理财产品募集期</w:t>
      </w:r>
      <w:r>
        <w:rPr>
          <w:bCs/>
          <w:color w:val="auto"/>
          <w:spacing w:val="10"/>
          <w:kern w:val="2"/>
          <w:sz w:val="24"/>
          <w:szCs w:val="24"/>
        </w:rPr>
        <w:t>/</w:t>
      </w:r>
      <w:r>
        <w:rPr>
          <w:rFonts w:hint="eastAsia"/>
          <w:bCs/>
          <w:color w:val="auto"/>
          <w:spacing w:val="10"/>
          <w:kern w:val="2"/>
          <w:sz w:val="24"/>
          <w:szCs w:val="24"/>
        </w:rPr>
        <w:t>开放期销售时段内，投资者需通过常熟农商银行下属各营业网点和电子渠道（包括但不限于手机银行等渠道）购买。投资者需通过相关渠道仔细阅读理财产品销售文件，根据认购</w:t>
      </w:r>
      <w:r>
        <w:rPr>
          <w:bCs/>
          <w:color w:val="auto"/>
          <w:spacing w:val="10"/>
          <w:kern w:val="2"/>
          <w:sz w:val="24"/>
          <w:szCs w:val="24"/>
        </w:rPr>
        <w:t>/</w:t>
      </w:r>
      <w:r>
        <w:rPr>
          <w:rFonts w:hint="eastAsia"/>
          <w:bCs/>
          <w:color w:val="auto"/>
          <w:spacing w:val="10"/>
          <w:kern w:val="2"/>
          <w:sz w:val="24"/>
          <w:szCs w:val="24"/>
        </w:rPr>
        <w:t>申购流程逐项点击确认进行购买，认</w:t>
      </w:r>
      <w:r>
        <w:rPr>
          <w:bCs/>
          <w:color w:val="auto"/>
          <w:spacing w:val="10"/>
          <w:kern w:val="2"/>
          <w:sz w:val="24"/>
          <w:szCs w:val="24"/>
        </w:rPr>
        <w:t>/</w:t>
      </w:r>
      <w:r>
        <w:rPr>
          <w:rFonts w:hint="eastAsia"/>
          <w:bCs/>
          <w:color w:val="auto"/>
          <w:spacing w:val="10"/>
          <w:kern w:val="2"/>
          <w:sz w:val="24"/>
          <w:szCs w:val="24"/>
        </w:rPr>
        <w:t>申购结果以在该等渠道的查询结果为准。</w:t>
      </w:r>
    </w:p>
    <w:p>
      <w:pPr>
        <w:pStyle w:val="13"/>
        <w:spacing w:before="0" w:after="0" w:line="240" w:lineRule="auto"/>
        <w:ind w:firstLine="520" w:firstLineChars="200"/>
        <w:jc w:val="both"/>
        <w:rPr>
          <w:bCs/>
          <w:color w:val="auto"/>
          <w:spacing w:val="10"/>
          <w:kern w:val="2"/>
          <w:sz w:val="24"/>
          <w:szCs w:val="24"/>
        </w:rPr>
      </w:pPr>
      <w:r>
        <w:rPr>
          <w:bCs/>
          <w:color w:val="auto"/>
          <w:spacing w:val="10"/>
          <w:kern w:val="2"/>
          <w:sz w:val="24"/>
          <w:szCs w:val="24"/>
        </w:rPr>
        <w:t>3</w:t>
      </w:r>
      <w:r>
        <w:rPr>
          <w:rFonts w:hint="eastAsia"/>
          <w:bCs/>
          <w:color w:val="auto"/>
          <w:spacing w:val="10"/>
          <w:kern w:val="2"/>
          <w:sz w:val="24"/>
          <w:szCs w:val="24"/>
        </w:rPr>
        <w:t>、理财产品认</w:t>
      </w:r>
      <w:r>
        <w:rPr>
          <w:bCs/>
          <w:color w:val="auto"/>
          <w:spacing w:val="10"/>
          <w:kern w:val="2"/>
          <w:sz w:val="24"/>
          <w:szCs w:val="24"/>
        </w:rPr>
        <w:t>/</w:t>
      </w:r>
      <w:r>
        <w:rPr>
          <w:rFonts w:hint="eastAsia"/>
          <w:bCs/>
          <w:color w:val="auto"/>
          <w:spacing w:val="10"/>
          <w:kern w:val="2"/>
          <w:sz w:val="24"/>
          <w:szCs w:val="24"/>
        </w:rPr>
        <w:t>申购申请撤销。投资者在理财产品认购期</w:t>
      </w:r>
      <w:r>
        <w:rPr>
          <w:bCs/>
          <w:color w:val="auto"/>
          <w:spacing w:val="10"/>
          <w:kern w:val="2"/>
          <w:sz w:val="24"/>
          <w:szCs w:val="24"/>
        </w:rPr>
        <w:t>/</w:t>
      </w:r>
      <w:r>
        <w:rPr>
          <w:rFonts w:hint="eastAsia"/>
          <w:bCs/>
          <w:color w:val="auto"/>
          <w:spacing w:val="10"/>
          <w:kern w:val="2"/>
          <w:sz w:val="24"/>
          <w:szCs w:val="24"/>
        </w:rPr>
        <w:t>募集期</w:t>
      </w:r>
      <w:r>
        <w:rPr>
          <w:bCs/>
          <w:color w:val="auto"/>
          <w:spacing w:val="10"/>
          <w:kern w:val="2"/>
          <w:sz w:val="24"/>
          <w:szCs w:val="24"/>
        </w:rPr>
        <w:t>/</w:t>
      </w:r>
      <w:r>
        <w:rPr>
          <w:rFonts w:hint="eastAsia"/>
          <w:bCs/>
          <w:color w:val="auto"/>
          <w:spacing w:val="10"/>
          <w:kern w:val="2"/>
          <w:sz w:val="24"/>
          <w:szCs w:val="24"/>
        </w:rPr>
        <w:t>开放期</w:t>
      </w:r>
      <w:r>
        <w:rPr>
          <w:bCs/>
          <w:color w:val="auto"/>
          <w:spacing w:val="10"/>
          <w:kern w:val="2"/>
          <w:sz w:val="24"/>
          <w:szCs w:val="24"/>
        </w:rPr>
        <w:t>/</w:t>
      </w:r>
      <w:r>
        <w:rPr>
          <w:rFonts w:hint="eastAsia"/>
          <w:bCs/>
          <w:color w:val="auto"/>
          <w:spacing w:val="10"/>
          <w:kern w:val="2"/>
          <w:sz w:val="24"/>
          <w:szCs w:val="24"/>
        </w:rPr>
        <w:t>投资冷静期（私募产品适用）内，可以撤销理财产品相应的认</w:t>
      </w:r>
      <w:r>
        <w:rPr>
          <w:bCs/>
          <w:color w:val="auto"/>
          <w:spacing w:val="10"/>
          <w:kern w:val="2"/>
          <w:sz w:val="24"/>
          <w:szCs w:val="24"/>
        </w:rPr>
        <w:t>/</w:t>
      </w:r>
      <w:r>
        <w:rPr>
          <w:rFonts w:hint="eastAsia"/>
          <w:bCs/>
          <w:color w:val="auto"/>
          <w:spacing w:val="10"/>
          <w:kern w:val="2"/>
          <w:sz w:val="24"/>
          <w:szCs w:val="24"/>
        </w:rPr>
        <w:t>申购申请。</w:t>
      </w:r>
    </w:p>
    <w:p>
      <w:pPr>
        <w:pStyle w:val="13"/>
        <w:spacing w:before="0" w:after="0" w:line="240" w:lineRule="auto"/>
        <w:ind w:firstLine="520" w:firstLineChars="200"/>
        <w:jc w:val="both"/>
        <w:rPr>
          <w:bCs/>
          <w:color w:val="auto"/>
          <w:spacing w:val="10"/>
          <w:kern w:val="2"/>
          <w:sz w:val="24"/>
          <w:szCs w:val="24"/>
        </w:rPr>
      </w:pPr>
      <w:r>
        <w:rPr>
          <w:bCs/>
          <w:color w:val="auto"/>
          <w:spacing w:val="10"/>
          <w:kern w:val="2"/>
          <w:sz w:val="24"/>
          <w:szCs w:val="24"/>
        </w:rPr>
        <w:t>4</w:t>
      </w:r>
      <w:r>
        <w:rPr>
          <w:rFonts w:hint="eastAsia"/>
          <w:bCs/>
          <w:color w:val="auto"/>
          <w:spacing w:val="10"/>
          <w:kern w:val="2"/>
          <w:sz w:val="24"/>
          <w:szCs w:val="24"/>
        </w:rPr>
        <w:t>、理财产品提前终止、赎回</w:t>
      </w:r>
      <w:r>
        <w:rPr>
          <w:bCs/>
          <w:color w:val="auto"/>
          <w:spacing w:val="10"/>
          <w:kern w:val="2"/>
          <w:sz w:val="24"/>
          <w:szCs w:val="24"/>
        </w:rPr>
        <w:t>/</w:t>
      </w:r>
      <w:r>
        <w:rPr>
          <w:rFonts w:hint="eastAsia"/>
          <w:bCs/>
          <w:color w:val="auto"/>
          <w:spacing w:val="10"/>
          <w:kern w:val="2"/>
          <w:sz w:val="24"/>
          <w:szCs w:val="24"/>
        </w:rPr>
        <w:t>到期兑付和税收。</w:t>
      </w:r>
    </w:p>
    <w:p>
      <w:pPr>
        <w:pStyle w:val="13"/>
        <w:spacing w:before="0" w:after="0" w:line="240" w:lineRule="auto"/>
        <w:ind w:firstLine="520" w:firstLineChars="200"/>
        <w:jc w:val="both"/>
        <w:rPr>
          <w:bCs/>
          <w:color w:val="auto"/>
          <w:spacing w:val="10"/>
          <w:kern w:val="2"/>
          <w:sz w:val="24"/>
          <w:szCs w:val="24"/>
        </w:rPr>
      </w:pPr>
      <w:r>
        <w:rPr>
          <w:rFonts w:hint="eastAsia"/>
          <w:bCs/>
          <w:color w:val="auto"/>
          <w:spacing w:val="10"/>
          <w:kern w:val="2"/>
          <w:sz w:val="24"/>
          <w:szCs w:val="24"/>
        </w:rPr>
        <w:t>提前终止：当理财产品发生全部提前终止时，南银理财和代销机构应当按照对应期次理财产品销售文件约定的方式向投资者告知相应理财产品的提前终止事宜。</w:t>
      </w:r>
    </w:p>
    <w:p>
      <w:pPr>
        <w:pStyle w:val="13"/>
        <w:spacing w:before="0" w:after="0" w:line="240" w:lineRule="auto"/>
        <w:ind w:firstLine="520" w:firstLineChars="200"/>
        <w:jc w:val="both"/>
        <w:rPr>
          <w:bCs/>
          <w:color w:val="auto"/>
          <w:spacing w:val="10"/>
          <w:kern w:val="2"/>
          <w:sz w:val="24"/>
          <w:szCs w:val="24"/>
        </w:rPr>
      </w:pPr>
      <w:r>
        <w:rPr>
          <w:rFonts w:hint="eastAsia"/>
          <w:bCs/>
          <w:color w:val="auto"/>
          <w:spacing w:val="10"/>
          <w:kern w:val="2"/>
          <w:sz w:val="24"/>
          <w:szCs w:val="24"/>
        </w:rPr>
        <w:t>赎回</w:t>
      </w:r>
      <w:r>
        <w:rPr>
          <w:bCs/>
          <w:color w:val="auto"/>
          <w:spacing w:val="10"/>
          <w:kern w:val="2"/>
          <w:sz w:val="24"/>
          <w:szCs w:val="24"/>
        </w:rPr>
        <w:t>/</w:t>
      </w:r>
      <w:r>
        <w:rPr>
          <w:rFonts w:hint="eastAsia"/>
          <w:bCs/>
          <w:color w:val="auto"/>
          <w:spacing w:val="10"/>
          <w:kern w:val="2"/>
          <w:sz w:val="24"/>
          <w:szCs w:val="24"/>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pPr>
        <w:pStyle w:val="13"/>
        <w:spacing w:before="0" w:after="0" w:line="240" w:lineRule="auto"/>
        <w:ind w:firstLine="480"/>
        <w:jc w:val="both"/>
        <w:rPr>
          <w:rFonts w:hint="eastAsia"/>
          <w:bCs/>
          <w:color w:val="auto"/>
          <w:spacing w:val="10"/>
          <w:kern w:val="2"/>
          <w:sz w:val="24"/>
          <w:szCs w:val="24"/>
        </w:rPr>
      </w:pPr>
      <w:r>
        <w:rPr>
          <w:rFonts w:hint="eastAsia"/>
          <w:bCs/>
          <w:color w:val="auto"/>
          <w:spacing w:val="10"/>
          <w:kern w:val="2"/>
          <w:sz w:val="24"/>
          <w:szCs w:val="24"/>
        </w:rPr>
        <w:t>税收：以对应期次的《理财产品说明书》约定的税务处理方式为准，如遇国家政策调整则相应执行最新政策。</w:t>
      </w:r>
    </w:p>
    <w:permEnd w:id="1"/>
    <w:p>
      <w:pPr>
        <w:pStyle w:val="13"/>
        <w:spacing w:before="0" w:after="0" w:line="240" w:lineRule="auto"/>
        <w:ind w:firstLine="522" w:firstLineChars="200"/>
        <w:jc w:val="both"/>
        <w:rPr>
          <w:bCs/>
          <w:color w:val="auto"/>
          <w:spacing w:val="10"/>
          <w:kern w:val="2"/>
          <w:sz w:val="24"/>
          <w:szCs w:val="24"/>
        </w:rPr>
      </w:pPr>
      <w:r>
        <w:rPr>
          <w:rFonts w:hint="eastAsia"/>
          <w:b/>
          <w:color w:val="auto"/>
          <w:spacing w:val="10"/>
          <w:kern w:val="2"/>
          <w:sz w:val="24"/>
          <w:szCs w:val="24"/>
        </w:rPr>
        <w:t>第二条</w:t>
      </w:r>
      <w:r>
        <w:rPr>
          <w:b/>
          <w:color w:val="auto"/>
          <w:spacing w:val="10"/>
          <w:kern w:val="2"/>
          <w:sz w:val="24"/>
          <w:szCs w:val="24"/>
        </w:rPr>
        <w:t xml:space="preserve"> </w:t>
      </w:r>
      <w:r>
        <w:rPr>
          <w:rFonts w:hint="eastAsia"/>
          <w:b/>
          <w:color w:val="auto"/>
          <w:spacing w:val="10"/>
          <w:kern w:val="2"/>
          <w:sz w:val="24"/>
          <w:szCs w:val="24"/>
        </w:rPr>
        <w:t>投资者风险承受能力评估流程说明</w:t>
      </w:r>
    </w:p>
    <w:p>
      <w:pPr>
        <w:pStyle w:val="13"/>
        <w:spacing w:before="0" w:after="0" w:line="240" w:lineRule="auto"/>
        <w:ind w:firstLine="478"/>
        <w:jc w:val="both"/>
        <w:rPr>
          <w:b/>
          <w:color w:val="auto"/>
          <w:spacing w:val="10"/>
          <w:kern w:val="2"/>
          <w:sz w:val="24"/>
          <w:szCs w:val="24"/>
        </w:rPr>
      </w:pPr>
      <w:r>
        <w:rPr>
          <w:rFonts w:hint="eastAsia"/>
          <w:b/>
          <w:color w:val="auto"/>
          <w:spacing w:val="10"/>
          <w:kern w:val="2"/>
          <w:sz w:val="24"/>
          <w:szCs w:val="24"/>
        </w:rPr>
        <w:t>（一）个人投资者风险承受能力评估流程说明</w:t>
      </w:r>
    </w:p>
    <w:p>
      <w:pPr>
        <w:pStyle w:val="13"/>
        <w:spacing w:before="0" w:after="0" w:line="240" w:lineRule="auto"/>
        <w:ind w:firstLine="338"/>
        <w:jc w:val="both"/>
        <w:rPr>
          <w:bCs/>
          <w:color w:val="auto"/>
          <w:spacing w:val="10"/>
          <w:kern w:val="2"/>
          <w:sz w:val="24"/>
          <w:szCs w:val="24"/>
        </w:rPr>
      </w:pPr>
      <w:r>
        <w:rPr>
          <w:bCs/>
          <w:color w:val="auto"/>
          <w:spacing w:val="10"/>
          <w:kern w:val="2"/>
          <w:sz w:val="24"/>
          <w:szCs w:val="24"/>
        </w:rPr>
        <w:t>1</w:t>
      </w:r>
      <w:r>
        <w:rPr>
          <w:rFonts w:hint="eastAsia"/>
          <w:bCs/>
          <w:color w:val="auto"/>
          <w:spacing w:val="10"/>
          <w:kern w:val="2"/>
          <w:sz w:val="24"/>
          <w:szCs w:val="24"/>
        </w:rPr>
        <w:t>.个人投资者首次通过销售机构购买理财产品时应根据销售机构的要求进行风险承受能力评估。</w:t>
      </w:r>
    </w:p>
    <w:p>
      <w:pPr>
        <w:pStyle w:val="13"/>
        <w:spacing w:before="0" w:after="0" w:line="240" w:lineRule="auto"/>
        <w:ind w:firstLine="338"/>
        <w:jc w:val="both"/>
        <w:rPr>
          <w:bCs/>
          <w:color w:val="auto"/>
          <w:spacing w:val="10"/>
          <w:kern w:val="2"/>
          <w:sz w:val="24"/>
          <w:szCs w:val="24"/>
        </w:rPr>
      </w:pPr>
      <w:r>
        <w:rPr>
          <w:bCs/>
          <w:color w:val="auto"/>
          <w:spacing w:val="10"/>
          <w:kern w:val="2"/>
          <w:sz w:val="24"/>
          <w:szCs w:val="24"/>
        </w:rPr>
        <w:t>2</w:t>
      </w:r>
      <w:r>
        <w:rPr>
          <w:rFonts w:hint="eastAsia"/>
          <w:bCs/>
          <w:color w:val="auto"/>
          <w:spacing w:val="10"/>
          <w:kern w:val="2"/>
          <w:sz w:val="24"/>
          <w:szCs w:val="24"/>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pPr>
        <w:pStyle w:val="13"/>
        <w:spacing w:before="0" w:after="0" w:line="240" w:lineRule="auto"/>
        <w:ind w:firstLine="338"/>
        <w:jc w:val="both"/>
        <w:rPr>
          <w:bCs/>
          <w:color w:val="auto"/>
          <w:spacing w:val="10"/>
          <w:kern w:val="2"/>
          <w:sz w:val="24"/>
          <w:szCs w:val="24"/>
        </w:rPr>
      </w:pPr>
      <w:r>
        <w:rPr>
          <w:bCs/>
          <w:color w:val="auto"/>
          <w:spacing w:val="10"/>
          <w:kern w:val="2"/>
          <w:sz w:val="24"/>
          <w:szCs w:val="24"/>
        </w:rPr>
        <w:t>3</w:t>
      </w:r>
      <w:r>
        <w:rPr>
          <w:rFonts w:hint="eastAsia"/>
          <w:bCs/>
          <w:color w:val="auto"/>
          <w:spacing w:val="10"/>
          <w:kern w:val="2"/>
          <w:sz w:val="24"/>
          <w:szCs w:val="24"/>
        </w:rPr>
        <w:t>.个人投资者风险承受能力评估流程</w:t>
      </w:r>
    </w:p>
    <w:p>
      <w:pPr>
        <w:pStyle w:val="13"/>
        <w:spacing w:before="0" w:after="0" w:line="240" w:lineRule="auto"/>
        <w:ind w:firstLine="338"/>
        <w:jc w:val="both"/>
        <w:rPr>
          <w:bCs/>
          <w:color w:val="auto"/>
          <w:spacing w:val="10"/>
          <w:kern w:val="2"/>
          <w:sz w:val="24"/>
          <w:szCs w:val="24"/>
        </w:rPr>
      </w:pPr>
      <w:r>
        <w:rPr>
          <w:rFonts w:hint="eastAsia"/>
          <w:bCs/>
          <w:color w:val="auto"/>
          <w:spacing w:val="10"/>
          <w:kern w:val="2"/>
          <w:sz w:val="24"/>
          <w:szCs w:val="24"/>
        </w:rPr>
        <w:t>（</w:t>
      </w:r>
      <w:r>
        <w:rPr>
          <w:bCs/>
          <w:color w:val="auto"/>
          <w:spacing w:val="10"/>
          <w:kern w:val="2"/>
          <w:sz w:val="24"/>
          <w:szCs w:val="24"/>
        </w:rPr>
        <w:t>1</w:t>
      </w:r>
      <w:r>
        <w:rPr>
          <w:rFonts w:hint="eastAsia"/>
          <w:bCs/>
          <w:color w:val="auto"/>
          <w:spacing w:val="10"/>
          <w:kern w:val="2"/>
          <w:sz w:val="24"/>
          <w:szCs w:val="24"/>
        </w:rPr>
        <w:t>）个人投资者在销售机构进行风险承受能力评估；</w:t>
      </w:r>
    </w:p>
    <w:p>
      <w:pPr>
        <w:pStyle w:val="13"/>
        <w:spacing w:before="0" w:after="0" w:line="240" w:lineRule="auto"/>
        <w:ind w:firstLine="338"/>
        <w:jc w:val="both"/>
        <w:rPr>
          <w:bCs/>
          <w:color w:val="auto"/>
          <w:spacing w:val="10"/>
          <w:kern w:val="2"/>
          <w:sz w:val="24"/>
          <w:szCs w:val="24"/>
        </w:rPr>
      </w:pPr>
      <w:r>
        <w:rPr>
          <w:rFonts w:hint="eastAsia"/>
          <w:bCs/>
          <w:color w:val="auto"/>
          <w:spacing w:val="10"/>
          <w:kern w:val="2"/>
          <w:sz w:val="24"/>
          <w:szCs w:val="24"/>
        </w:rPr>
        <w:t>（</w:t>
      </w:r>
      <w:r>
        <w:rPr>
          <w:bCs/>
          <w:color w:val="auto"/>
          <w:spacing w:val="10"/>
          <w:kern w:val="2"/>
          <w:sz w:val="24"/>
          <w:szCs w:val="24"/>
        </w:rPr>
        <w:t>2</w:t>
      </w:r>
      <w:r>
        <w:rPr>
          <w:rFonts w:hint="eastAsia"/>
          <w:bCs/>
          <w:color w:val="auto"/>
          <w:spacing w:val="10"/>
          <w:kern w:val="2"/>
          <w:sz w:val="24"/>
          <w:szCs w:val="24"/>
        </w:rPr>
        <w:t>）填写销售机构个人投资者风险承受能力测试问卷；</w:t>
      </w:r>
    </w:p>
    <w:p>
      <w:pPr>
        <w:pStyle w:val="13"/>
        <w:spacing w:before="0" w:after="0" w:line="240" w:lineRule="auto"/>
        <w:ind w:firstLine="338"/>
        <w:jc w:val="both"/>
        <w:rPr>
          <w:bCs/>
          <w:color w:val="auto"/>
          <w:spacing w:val="10"/>
          <w:kern w:val="2"/>
          <w:sz w:val="24"/>
          <w:szCs w:val="24"/>
        </w:rPr>
      </w:pPr>
      <w:r>
        <w:rPr>
          <w:rFonts w:hint="eastAsia"/>
          <w:bCs/>
          <w:color w:val="auto"/>
          <w:spacing w:val="10"/>
          <w:kern w:val="2"/>
          <w:sz w:val="24"/>
          <w:szCs w:val="24"/>
        </w:rPr>
        <w:t>（</w:t>
      </w:r>
      <w:r>
        <w:rPr>
          <w:bCs/>
          <w:color w:val="auto"/>
          <w:spacing w:val="10"/>
          <w:kern w:val="2"/>
          <w:sz w:val="24"/>
          <w:szCs w:val="24"/>
        </w:rPr>
        <w:t>3</w:t>
      </w:r>
      <w:r>
        <w:rPr>
          <w:rFonts w:hint="eastAsia"/>
          <w:bCs/>
          <w:color w:val="auto"/>
          <w:spacing w:val="10"/>
          <w:kern w:val="2"/>
          <w:sz w:val="24"/>
          <w:szCs w:val="24"/>
        </w:rPr>
        <w:t>）生成相应的个人投资者风险承受能力评估结果；</w:t>
      </w:r>
    </w:p>
    <w:p>
      <w:pPr>
        <w:pStyle w:val="13"/>
        <w:spacing w:before="0" w:after="0" w:line="240" w:lineRule="auto"/>
        <w:ind w:firstLine="338"/>
        <w:jc w:val="both"/>
        <w:rPr>
          <w:bCs/>
          <w:color w:val="auto"/>
          <w:spacing w:val="10"/>
          <w:kern w:val="2"/>
          <w:sz w:val="24"/>
          <w:szCs w:val="24"/>
        </w:rPr>
      </w:pPr>
      <w:r>
        <w:rPr>
          <w:rFonts w:hint="eastAsia"/>
          <w:bCs/>
          <w:color w:val="auto"/>
          <w:spacing w:val="10"/>
          <w:kern w:val="2"/>
          <w:sz w:val="24"/>
          <w:szCs w:val="24"/>
        </w:rPr>
        <w:t>（</w:t>
      </w:r>
      <w:r>
        <w:rPr>
          <w:bCs/>
          <w:color w:val="auto"/>
          <w:spacing w:val="10"/>
          <w:kern w:val="2"/>
          <w:sz w:val="24"/>
          <w:szCs w:val="24"/>
        </w:rPr>
        <w:t>4</w:t>
      </w:r>
      <w:r>
        <w:rPr>
          <w:rFonts w:hint="eastAsia"/>
          <w:bCs/>
          <w:color w:val="auto"/>
          <w:spacing w:val="10"/>
          <w:kern w:val="2"/>
          <w:sz w:val="24"/>
          <w:szCs w:val="24"/>
        </w:rPr>
        <w:t>）投资者对评估结果进行确认。</w:t>
      </w:r>
    </w:p>
    <w:p>
      <w:pPr>
        <w:pStyle w:val="13"/>
        <w:spacing w:before="0" w:after="0" w:line="240" w:lineRule="auto"/>
        <w:ind w:firstLine="478"/>
        <w:jc w:val="both"/>
        <w:rPr>
          <w:bCs/>
          <w:color w:val="auto"/>
          <w:spacing w:val="10"/>
          <w:kern w:val="2"/>
          <w:sz w:val="24"/>
          <w:szCs w:val="24"/>
        </w:rPr>
      </w:pPr>
      <w:r>
        <w:rPr>
          <w:rFonts w:hint="eastAsia"/>
          <w:bCs/>
          <w:color w:val="auto"/>
          <w:spacing w:val="10"/>
          <w:kern w:val="2"/>
          <w:sz w:val="24"/>
          <w:szCs w:val="24"/>
        </w:rPr>
        <w:t>●特别提示：如个人投资者发生可能影响其自身风险承受能力的情况，再次购买理财产品时应当主动要求销售机构对其进行风险承受能力评估。</w:t>
      </w:r>
    </w:p>
    <w:p>
      <w:pPr>
        <w:pStyle w:val="13"/>
        <w:spacing w:before="0" w:after="0" w:line="240" w:lineRule="auto"/>
        <w:ind w:firstLine="520" w:firstLineChars="200"/>
        <w:jc w:val="both"/>
        <w:rPr>
          <w:color w:val="auto"/>
          <w:spacing w:val="10"/>
          <w:kern w:val="2"/>
          <w:sz w:val="24"/>
          <w:szCs w:val="24"/>
        </w:rPr>
      </w:pPr>
      <w:r>
        <w:rPr>
          <w:rFonts w:hint="eastAsia"/>
          <w:color w:val="auto"/>
          <w:spacing w:val="10"/>
          <w:kern w:val="2"/>
          <w:sz w:val="24"/>
          <w:szCs w:val="24"/>
        </w:rPr>
        <w:t>评级具体含义说明。投资者风险承受能力评估结果的含义如下：</w:t>
      </w:r>
    </w:p>
    <w:p>
      <w:pPr>
        <w:pStyle w:val="13"/>
        <w:spacing w:before="0" w:after="0" w:line="240" w:lineRule="auto"/>
        <w:ind w:firstLine="480" w:firstLineChars="200"/>
        <w:jc w:val="both"/>
        <w:rPr>
          <w:rFonts w:hint="eastAsia"/>
          <w:color w:val="auto"/>
          <w:spacing w:val="10"/>
          <w:kern w:val="2"/>
          <w:sz w:val="24"/>
          <w:szCs w:val="24"/>
        </w:rPr>
      </w:pPr>
      <w:permStart w:id="2" w:edGrp="everyone"/>
      <w:r>
        <w:rPr>
          <w:rFonts w:hint="eastAsia" w:ascii="宋体" w:hAnsi="宋体" w:cs="宋体"/>
          <w:color w:val="333333"/>
          <w:sz w:val="24"/>
          <w:szCs w:val="24"/>
        </w:rPr>
        <w:t>一级，保守型客户：指适合购买或使用保本或价值波动小的金融产品或服务，承担低风险而作风保守类型的金融消费者</w:t>
      </w:r>
      <w:r>
        <w:rPr>
          <w:rFonts w:hint="eastAsia"/>
          <w:color w:val="auto"/>
          <w:spacing w:val="10"/>
          <w:kern w:val="2"/>
          <w:sz w:val="24"/>
          <w:szCs w:val="24"/>
        </w:rPr>
        <w:t>。</w:t>
      </w:r>
    </w:p>
    <w:p>
      <w:pPr>
        <w:pStyle w:val="13"/>
        <w:spacing w:before="0" w:after="0" w:line="240" w:lineRule="auto"/>
        <w:ind w:firstLine="480" w:firstLineChars="200"/>
        <w:jc w:val="both"/>
        <w:rPr>
          <w:rFonts w:hint="eastAsia"/>
          <w:color w:val="auto"/>
          <w:spacing w:val="10"/>
          <w:kern w:val="2"/>
          <w:sz w:val="24"/>
          <w:szCs w:val="24"/>
        </w:rPr>
      </w:pPr>
      <w:r>
        <w:rPr>
          <w:rFonts w:hint="eastAsia" w:ascii="宋体" w:hAnsi="宋体" w:cs="宋体"/>
          <w:color w:val="333333"/>
          <w:sz w:val="24"/>
          <w:szCs w:val="24"/>
        </w:rPr>
        <w:t>二级，谨慎型客户：指适合购买或使用价值温和波动的金融产品或服务，承担低至中等风险类型的金融消费者</w:t>
      </w:r>
      <w:r>
        <w:rPr>
          <w:rFonts w:hint="eastAsia"/>
          <w:color w:val="auto"/>
          <w:spacing w:val="10"/>
          <w:kern w:val="2"/>
          <w:sz w:val="24"/>
          <w:szCs w:val="24"/>
        </w:rPr>
        <w:t>。</w:t>
      </w:r>
    </w:p>
    <w:p>
      <w:pPr>
        <w:pStyle w:val="13"/>
        <w:spacing w:before="0" w:after="0" w:line="240" w:lineRule="auto"/>
        <w:ind w:firstLine="480" w:firstLineChars="200"/>
        <w:jc w:val="both"/>
        <w:rPr>
          <w:rFonts w:hint="eastAsia"/>
          <w:color w:val="auto"/>
          <w:spacing w:val="10"/>
          <w:kern w:val="2"/>
          <w:sz w:val="24"/>
          <w:szCs w:val="24"/>
        </w:rPr>
      </w:pPr>
      <w:r>
        <w:rPr>
          <w:rFonts w:hint="eastAsia" w:ascii="宋体" w:hAnsi="宋体" w:cs="宋体"/>
          <w:color w:val="333333"/>
          <w:sz w:val="24"/>
          <w:szCs w:val="24"/>
        </w:rPr>
        <w:t>三级，稳健型客户：指适合购买或使用有价值波动的金融产品或服务，承担中等风险类型的金融消费者</w:t>
      </w:r>
      <w:r>
        <w:rPr>
          <w:rFonts w:hint="eastAsia"/>
          <w:color w:val="auto"/>
          <w:spacing w:val="10"/>
          <w:kern w:val="2"/>
          <w:sz w:val="24"/>
          <w:szCs w:val="24"/>
        </w:rPr>
        <w:t>。</w:t>
      </w:r>
    </w:p>
    <w:p>
      <w:pPr>
        <w:pStyle w:val="13"/>
        <w:spacing w:before="0" w:after="0" w:line="240" w:lineRule="auto"/>
        <w:ind w:firstLine="480" w:firstLineChars="200"/>
        <w:jc w:val="both"/>
        <w:rPr>
          <w:rFonts w:hint="eastAsia"/>
          <w:color w:val="auto"/>
          <w:spacing w:val="10"/>
          <w:kern w:val="2"/>
          <w:sz w:val="24"/>
          <w:szCs w:val="24"/>
        </w:rPr>
      </w:pPr>
      <w:r>
        <w:rPr>
          <w:rFonts w:hint="eastAsia" w:ascii="宋体" w:hAnsi="宋体" w:cs="宋体"/>
          <w:color w:val="333333"/>
          <w:sz w:val="24"/>
          <w:szCs w:val="24"/>
        </w:rPr>
        <w:t>四级，进取型客户：指适合购买或使用价值波动较大的金融产品或服务，承担中等至高风险类型的金融消费者</w:t>
      </w:r>
      <w:r>
        <w:rPr>
          <w:rFonts w:hint="eastAsia"/>
          <w:color w:val="auto"/>
          <w:spacing w:val="10"/>
          <w:kern w:val="2"/>
          <w:sz w:val="24"/>
          <w:szCs w:val="24"/>
        </w:rPr>
        <w:t>。</w:t>
      </w:r>
    </w:p>
    <w:p>
      <w:pPr>
        <w:pStyle w:val="13"/>
        <w:spacing w:before="0" w:after="0" w:line="240" w:lineRule="auto"/>
        <w:ind w:firstLine="480" w:firstLineChars="200"/>
        <w:jc w:val="both"/>
        <w:rPr>
          <w:rFonts w:hint="eastAsia"/>
          <w:color w:val="auto"/>
          <w:spacing w:val="10"/>
          <w:kern w:val="2"/>
          <w:sz w:val="24"/>
          <w:szCs w:val="24"/>
        </w:rPr>
      </w:pPr>
      <w:r>
        <w:rPr>
          <w:rFonts w:hint="eastAsia" w:ascii="宋体" w:hAnsi="宋体" w:cs="宋体"/>
          <w:color w:val="333333"/>
          <w:sz w:val="24"/>
          <w:szCs w:val="24"/>
        </w:rPr>
        <w:t>五级，积极进取型客户：指适合购买或使用价值波动大的金融产品或服务，最坏的情况下，可能失去全部购买价值并对产生亏损承担责任，承受高风险类型的金融消费者</w:t>
      </w:r>
      <w:r>
        <w:rPr>
          <w:rFonts w:hint="eastAsia"/>
          <w:color w:val="auto"/>
          <w:spacing w:val="10"/>
          <w:kern w:val="2"/>
          <w:sz w:val="24"/>
          <w:szCs w:val="24"/>
        </w:rPr>
        <w:t>。</w:t>
      </w:r>
    </w:p>
    <w:permEnd w:id="2"/>
    <w:p>
      <w:pPr>
        <w:pStyle w:val="13"/>
        <w:spacing w:before="0" w:after="0" w:line="240" w:lineRule="auto"/>
        <w:ind w:firstLine="522" w:firstLineChars="200"/>
        <w:jc w:val="both"/>
        <w:rPr>
          <w:b/>
          <w:color w:val="auto"/>
          <w:spacing w:val="10"/>
          <w:kern w:val="2"/>
          <w:sz w:val="24"/>
          <w:szCs w:val="24"/>
        </w:rPr>
      </w:pPr>
      <w:r>
        <w:rPr>
          <w:rFonts w:hint="eastAsia"/>
          <w:b/>
          <w:color w:val="auto"/>
          <w:spacing w:val="10"/>
          <w:kern w:val="2"/>
          <w:sz w:val="24"/>
          <w:szCs w:val="24"/>
        </w:rPr>
        <w:t>（二）机构投资者风险承受能力评估流程说明</w:t>
      </w:r>
    </w:p>
    <w:p>
      <w:pPr>
        <w:pStyle w:val="13"/>
        <w:spacing w:before="0" w:after="0" w:line="240" w:lineRule="auto"/>
        <w:ind w:firstLine="478"/>
        <w:jc w:val="both"/>
        <w:rPr>
          <w:bCs/>
          <w:color w:val="auto"/>
          <w:spacing w:val="10"/>
          <w:kern w:val="2"/>
          <w:sz w:val="24"/>
          <w:szCs w:val="24"/>
        </w:rPr>
      </w:pPr>
      <w:r>
        <w:rPr>
          <w:rFonts w:hint="eastAsia"/>
          <w:bCs/>
          <w:color w:val="auto"/>
          <w:spacing w:val="10"/>
          <w:kern w:val="2"/>
          <w:sz w:val="24"/>
          <w:szCs w:val="24"/>
        </w:rPr>
        <w:t>机构投资者请根据自身的财务状况、投资经验、投资目标、风险认知、风险判断及其他因素综合考量理财产品的投资风险及自身的风险承受能力。</w:t>
      </w:r>
    </w:p>
    <w:p>
      <w:pPr>
        <w:pStyle w:val="13"/>
        <w:spacing w:before="0" w:after="0" w:line="240" w:lineRule="auto"/>
        <w:ind w:firstLine="478"/>
        <w:jc w:val="both"/>
        <w:rPr>
          <w:bCs/>
          <w:color w:val="auto"/>
          <w:spacing w:val="10"/>
          <w:kern w:val="2"/>
          <w:sz w:val="24"/>
          <w:szCs w:val="24"/>
        </w:rPr>
      </w:pPr>
      <w:r>
        <w:rPr>
          <w:rFonts w:hint="eastAsia"/>
          <w:b/>
          <w:color w:val="auto"/>
          <w:spacing w:val="10"/>
          <w:kern w:val="2"/>
          <w:sz w:val="24"/>
          <w:szCs w:val="24"/>
        </w:rPr>
        <w:t>第三条</w:t>
      </w:r>
      <w:r>
        <w:rPr>
          <w:b/>
          <w:color w:val="auto"/>
          <w:spacing w:val="10"/>
          <w:kern w:val="2"/>
          <w:sz w:val="24"/>
          <w:szCs w:val="24"/>
        </w:rPr>
        <w:t xml:space="preserve"> </w:t>
      </w:r>
      <w:r>
        <w:rPr>
          <w:rFonts w:hint="eastAsia"/>
          <w:b/>
          <w:color w:val="auto"/>
          <w:spacing w:val="10"/>
          <w:kern w:val="2"/>
          <w:sz w:val="24"/>
          <w:szCs w:val="24"/>
        </w:rPr>
        <w:t>理财产品风险等级说明</w:t>
      </w:r>
    </w:p>
    <w:p>
      <w:pPr>
        <w:pStyle w:val="13"/>
        <w:spacing w:before="0" w:after="0" w:line="240" w:lineRule="auto"/>
        <w:ind w:firstLine="517" w:firstLineChars="199"/>
        <w:jc w:val="both"/>
        <w:rPr>
          <w:color w:val="auto"/>
          <w:spacing w:val="10"/>
          <w:kern w:val="2"/>
          <w:sz w:val="24"/>
          <w:szCs w:val="24"/>
        </w:rPr>
      </w:pPr>
      <w:r>
        <w:rPr>
          <w:rFonts w:hint="eastAsia"/>
          <w:color w:val="auto"/>
          <w:spacing w:val="10"/>
          <w:kern w:val="2"/>
          <w:sz w:val="24"/>
          <w:szCs w:val="24"/>
        </w:rPr>
        <w:t>由于理财产品的运行方式和投资范围等不同，其承担的风险程度各有不同，南银理财将其风险等级分为五级，分别为：PR1级（低风险）、PR2级（中低风险）、PR3级（中等风险）、</w:t>
      </w:r>
      <w:r>
        <w:rPr>
          <w:color w:val="auto"/>
          <w:spacing w:val="10"/>
          <w:kern w:val="2"/>
          <w:sz w:val="24"/>
          <w:szCs w:val="24"/>
        </w:rPr>
        <w:t>PR4</w:t>
      </w:r>
      <w:r>
        <w:rPr>
          <w:rFonts w:hint="eastAsia"/>
          <w:color w:val="auto"/>
          <w:spacing w:val="10"/>
          <w:kern w:val="2"/>
          <w:sz w:val="24"/>
          <w:szCs w:val="24"/>
        </w:rPr>
        <w:t>级（中高风险）、</w:t>
      </w:r>
      <w:r>
        <w:rPr>
          <w:color w:val="auto"/>
          <w:spacing w:val="10"/>
          <w:kern w:val="2"/>
          <w:sz w:val="24"/>
          <w:szCs w:val="24"/>
        </w:rPr>
        <w:t>PR5</w:t>
      </w:r>
      <w:r>
        <w:rPr>
          <w:rFonts w:hint="eastAsia"/>
          <w:color w:val="auto"/>
          <w:spacing w:val="10"/>
          <w:kern w:val="2"/>
          <w:sz w:val="24"/>
          <w:szCs w:val="24"/>
        </w:rPr>
        <w:t>级（高风险）。</w:t>
      </w:r>
    </w:p>
    <w:p>
      <w:pPr>
        <w:pStyle w:val="13"/>
        <w:spacing w:before="0" w:after="0" w:line="240" w:lineRule="auto"/>
        <w:ind w:firstLine="517" w:firstLineChars="199"/>
        <w:jc w:val="both"/>
        <w:rPr>
          <w:color w:val="auto"/>
          <w:spacing w:val="10"/>
          <w:kern w:val="2"/>
          <w:sz w:val="24"/>
          <w:szCs w:val="24"/>
        </w:rPr>
      </w:pPr>
      <w:r>
        <w:rPr>
          <w:color w:val="auto"/>
          <w:spacing w:val="10"/>
          <w:kern w:val="2"/>
          <w:sz w:val="24"/>
          <w:szCs w:val="24"/>
        </w:rPr>
        <w:t>PR1</w:t>
      </w:r>
      <w:r>
        <w:rPr>
          <w:rFonts w:hint="eastAsia"/>
          <w:color w:val="auto"/>
          <w:spacing w:val="10"/>
          <w:kern w:val="2"/>
          <w:sz w:val="24"/>
          <w:szCs w:val="24"/>
        </w:rPr>
        <w:t>级（低风险）：管理人不承诺本金保障，产品收益随投资表现变动，产品存在极低的本金损失风险。</w:t>
      </w:r>
    </w:p>
    <w:p>
      <w:pPr>
        <w:pStyle w:val="13"/>
        <w:spacing w:before="0" w:after="0" w:line="240" w:lineRule="auto"/>
        <w:ind w:firstLine="517" w:firstLineChars="199"/>
        <w:jc w:val="both"/>
        <w:rPr>
          <w:color w:val="auto"/>
          <w:spacing w:val="10"/>
          <w:kern w:val="2"/>
          <w:sz w:val="24"/>
          <w:szCs w:val="24"/>
        </w:rPr>
      </w:pPr>
      <w:r>
        <w:rPr>
          <w:color w:val="auto"/>
          <w:spacing w:val="10"/>
          <w:kern w:val="2"/>
          <w:sz w:val="24"/>
          <w:szCs w:val="24"/>
        </w:rPr>
        <w:t>PR2</w:t>
      </w:r>
      <w:r>
        <w:rPr>
          <w:rFonts w:hint="eastAsia"/>
          <w:color w:val="auto"/>
          <w:spacing w:val="10"/>
          <w:kern w:val="2"/>
          <w:sz w:val="24"/>
          <w:szCs w:val="24"/>
        </w:rPr>
        <w:t>级（中低风险）：管理人不承诺本金保障，产品收益随投资表现变动，产品存在较低的本金损失风险。</w:t>
      </w:r>
    </w:p>
    <w:p>
      <w:pPr>
        <w:pStyle w:val="13"/>
        <w:spacing w:before="0" w:after="0" w:line="240" w:lineRule="auto"/>
        <w:ind w:firstLine="517" w:firstLineChars="199"/>
        <w:jc w:val="both"/>
        <w:rPr>
          <w:color w:val="auto"/>
          <w:spacing w:val="10"/>
          <w:kern w:val="2"/>
          <w:sz w:val="24"/>
          <w:szCs w:val="24"/>
        </w:rPr>
      </w:pPr>
      <w:r>
        <w:rPr>
          <w:color w:val="auto"/>
          <w:spacing w:val="10"/>
          <w:kern w:val="2"/>
          <w:sz w:val="24"/>
          <w:szCs w:val="24"/>
        </w:rPr>
        <w:t>PR3</w:t>
      </w:r>
      <w:r>
        <w:rPr>
          <w:rFonts w:hint="eastAsia"/>
          <w:color w:val="auto"/>
          <w:spacing w:val="10"/>
          <w:kern w:val="2"/>
          <w:sz w:val="24"/>
          <w:szCs w:val="24"/>
        </w:rPr>
        <w:t>级（中等风险）：管理人不承诺本金保障，产品收益随投资表现变动，产品存在一定的本金损失风险。</w:t>
      </w:r>
    </w:p>
    <w:p>
      <w:pPr>
        <w:pStyle w:val="13"/>
        <w:spacing w:before="0" w:after="0" w:line="240" w:lineRule="auto"/>
        <w:ind w:firstLine="517" w:firstLineChars="199"/>
        <w:jc w:val="both"/>
        <w:rPr>
          <w:color w:val="auto"/>
          <w:spacing w:val="10"/>
          <w:kern w:val="2"/>
          <w:sz w:val="24"/>
          <w:szCs w:val="24"/>
        </w:rPr>
      </w:pPr>
      <w:r>
        <w:rPr>
          <w:color w:val="auto"/>
          <w:spacing w:val="10"/>
          <w:kern w:val="2"/>
          <w:sz w:val="24"/>
          <w:szCs w:val="24"/>
        </w:rPr>
        <w:t>PR4</w:t>
      </w:r>
      <w:r>
        <w:rPr>
          <w:rFonts w:hint="eastAsia"/>
          <w:color w:val="auto"/>
          <w:spacing w:val="10"/>
          <w:kern w:val="2"/>
          <w:sz w:val="24"/>
          <w:szCs w:val="24"/>
        </w:rPr>
        <w:t>级（中高风险）：管理人不承诺本金保障，产品收益随投资表现变动，产品存在较高的本金损失风险。</w:t>
      </w:r>
    </w:p>
    <w:p>
      <w:pPr>
        <w:pStyle w:val="13"/>
        <w:spacing w:before="0" w:after="0" w:line="240" w:lineRule="auto"/>
        <w:ind w:firstLine="514" w:firstLineChars="198"/>
        <w:jc w:val="both"/>
        <w:rPr>
          <w:sz w:val="24"/>
          <w:szCs w:val="24"/>
        </w:rPr>
      </w:pPr>
      <w:r>
        <w:rPr>
          <w:color w:val="auto"/>
          <w:spacing w:val="10"/>
          <w:kern w:val="2"/>
          <w:sz w:val="24"/>
          <w:szCs w:val="24"/>
        </w:rPr>
        <w:t>PR5</w:t>
      </w:r>
      <w:r>
        <w:rPr>
          <w:rFonts w:hint="eastAsia"/>
          <w:color w:val="auto"/>
          <w:spacing w:val="10"/>
          <w:kern w:val="2"/>
          <w:sz w:val="24"/>
          <w:szCs w:val="24"/>
        </w:rPr>
        <w:t>级（高风险）：管理人不承诺本金保障，产品收益随投资表现变动，产品存在极高的本金损失风险，产品本金蒙受全部损失的可能性不容忽视。</w:t>
      </w:r>
    </w:p>
    <w:p>
      <w:pPr>
        <w:pStyle w:val="13"/>
        <w:spacing w:before="0" w:after="0" w:line="240" w:lineRule="auto"/>
        <w:ind w:firstLine="517" w:firstLineChars="199"/>
        <w:jc w:val="both"/>
        <w:rPr>
          <w:color w:val="auto"/>
          <w:spacing w:val="10"/>
          <w:kern w:val="2"/>
          <w:sz w:val="24"/>
          <w:szCs w:val="24"/>
        </w:rPr>
      </w:pPr>
      <w:r>
        <w:rPr>
          <w:rFonts w:hint="eastAsia"/>
          <w:color w:val="auto"/>
          <w:spacing w:val="10"/>
          <w:kern w:val="2"/>
          <w:sz w:val="24"/>
          <w:szCs w:val="24"/>
        </w:rPr>
        <w:t>本风险等级为南银理财风险评级结果，该产品通过代理销售机构渠道销售的，理财产品评级应当以代理销售机构最终披露的评级结果为准。您需充分认识投资风险，谨慎投资。</w:t>
      </w:r>
    </w:p>
    <w:p>
      <w:pPr>
        <w:pStyle w:val="13"/>
        <w:spacing w:before="0" w:after="0" w:line="240" w:lineRule="auto"/>
        <w:ind w:firstLine="522" w:firstLineChars="200"/>
        <w:jc w:val="both"/>
        <w:rPr>
          <w:rFonts w:hint="eastAsia"/>
          <w:sz w:val="24"/>
          <w:szCs w:val="24"/>
        </w:rPr>
      </w:pPr>
      <w:r>
        <w:rPr>
          <w:rFonts w:hint="eastAsia"/>
          <w:b/>
          <w:color w:val="auto"/>
          <w:spacing w:val="10"/>
          <w:kern w:val="2"/>
          <w:sz w:val="24"/>
          <w:szCs w:val="24"/>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pPr>
        <w:pStyle w:val="13"/>
        <w:spacing w:before="0" w:after="0" w:line="240" w:lineRule="auto"/>
        <w:ind w:firstLine="517" w:firstLineChars="198"/>
        <w:jc w:val="both"/>
        <w:rPr>
          <w:b/>
          <w:bCs/>
          <w:color w:val="auto"/>
          <w:spacing w:val="10"/>
          <w:kern w:val="2"/>
          <w:sz w:val="24"/>
          <w:szCs w:val="24"/>
        </w:rPr>
      </w:pPr>
      <w:r>
        <w:rPr>
          <w:rFonts w:hint="eastAsia"/>
          <w:b/>
          <w:bCs/>
          <w:color w:val="auto"/>
          <w:spacing w:val="10"/>
          <w:kern w:val="2"/>
          <w:sz w:val="24"/>
          <w:szCs w:val="24"/>
        </w:rPr>
        <w:t>第四条</w:t>
      </w:r>
      <w:r>
        <w:rPr>
          <w:b/>
          <w:bCs/>
          <w:color w:val="auto"/>
          <w:spacing w:val="10"/>
          <w:kern w:val="2"/>
          <w:sz w:val="24"/>
          <w:szCs w:val="24"/>
        </w:rPr>
        <w:t xml:space="preserve"> </w:t>
      </w:r>
      <w:r>
        <w:rPr>
          <w:rFonts w:hint="eastAsia"/>
          <w:b/>
          <w:bCs/>
          <w:color w:val="auto"/>
          <w:spacing w:val="10"/>
          <w:kern w:val="2"/>
          <w:sz w:val="24"/>
          <w:szCs w:val="24"/>
        </w:rPr>
        <w:t>个人投资者风险承受能力等级与适合购买的理财产品说明</w:t>
      </w:r>
    </w:p>
    <w:tbl>
      <w:tblPr>
        <w:tblStyle w:val="14"/>
        <w:tblW w:w="0" w:type="auto"/>
        <w:jc w:val="center"/>
        <w:tblLayout w:type="fixed"/>
        <w:tblCellMar>
          <w:top w:w="0" w:type="dxa"/>
          <w:left w:w="108" w:type="dxa"/>
          <w:bottom w:w="0" w:type="dxa"/>
          <w:right w:w="108" w:type="dxa"/>
        </w:tblCellMar>
      </w:tblPr>
      <w:tblGrid>
        <w:gridCol w:w="1866"/>
        <w:gridCol w:w="741"/>
        <w:gridCol w:w="816"/>
        <w:gridCol w:w="816"/>
        <w:gridCol w:w="816"/>
        <w:gridCol w:w="741"/>
      </w:tblGrid>
      <w:tr>
        <w:tblPrEx>
          <w:tblCellMar>
            <w:top w:w="0" w:type="dxa"/>
            <w:left w:w="108" w:type="dxa"/>
            <w:bottom w:w="0" w:type="dxa"/>
            <w:right w:w="108" w:type="dxa"/>
          </w:tblCellMar>
        </w:tblPrEx>
        <w:trPr>
          <w:trHeight w:val="178" w:hRule="atLeast"/>
          <w:jc w:val="center"/>
        </w:trPr>
        <w:tc>
          <w:tcPr>
            <w:tcW w:w="1866" w:type="dxa"/>
            <w:vMerge w:val="restart"/>
            <w:tcBorders>
              <w:top w:val="single" w:color="auto" w:sz="4" w:space="0"/>
              <w:left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个人投资者风险承受能力</w:t>
            </w:r>
          </w:p>
          <w:p>
            <w:pPr>
              <w:widowControl/>
              <w:snapToGrid w:val="0"/>
              <w:jc w:val="center"/>
              <w:rPr>
                <w:rFonts w:ascii="宋体" w:hAnsi="宋体" w:cs="宋体"/>
                <w:kern w:val="0"/>
                <w:sz w:val="24"/>
                <w:szCs w:val="24"/>
              </w:rPr>
            </w:pPr>
            <w:r>
              <w:rPr>
                <w:rFonts w:hint="eastAsia" w:ascii="宋体" w:hAnsi="宋体" w:cs="宋体"/>
                <w:kern w:val="0"/>
                <w:sz w:val="24"/>
                <w:szCs w:val="24"/>
              </w:rPr>
              <w:t>等级</w:t>
            </w:r>
          </w:p>
        </w:tc>
        <w:tc>
          <w:tcPr>
            <w:tcW w:w="3930" w:type="dxa"/>
            <w:gridSpan w:val="5"/>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南银理财理财产品风险等级</w:t>
            </w:r>
          </w:p>
        </w:tc>
      </w:tr>
      <w:tr>
        <w:tblPrEx>
          <w:tblCellMar>
            <w:top w:w="0" w:type="dxa"/>
            <w:left w:w="108" w:type="dxa"/>
            <w:bottom w:w="0" w:type="dxa"/>
            <w:right w:w="108" w:type="dxa"/>
          </w:tblCellMar>
        </w:tblPrEx>
        <w:trPr>
          <w:trHeight w:val="735" w:hRule="atLeast"/>
          <w:jc w:val="center"/>
        </w:trPr>
        <w:tc>
          <w:tcPr>
            <w:tcW w:w="1866"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p>
        </w:tc>
        <w:tc>
          <w:tcPr>
            <w:tcW w:w="741"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低风险</w:t>
            </w:r>
            <w:r>
              <w:rPr>
                <w:rFonts w:ascii="宋体" w:hAns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PR1</w:t>
            </w:r>
            <w:r>
              <w:rPr>
                <w:rFonts w:hint="eastAsia" w:ascii="宋体" w:hAnsi="宋体" w:cs="宋体"/>
                <w:kern w:val="0"/>
                <w:sz w:val="24"/>
                <w:szCs w:val="24"/>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中低风险</w:t>
            </w:r>
            <w:r>
              <w:rPr>
                <w:rFonts w:ascii="宋体" w:hAns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PR2</w:t>
            </w:r>
            <w:r>
              <w:rPr>
                <w:rFonts w:hint="eastAsia" w:ascii="宋体" w:hAnsi="宋体" w:cs="宋体"/>
                <w:kern w:val="0"/>
                <w:sz w:val="24"/>
                <w:szCs w:val="24"/>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中等风险</w:t>
            </w:r>
            <w:r>
              <w:rPr>
                <w:rFonts w:ascii="宋体" w:hAns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PR3</w:t>
            </w:r>
            <w:r>
              <w:rPr>
                <w:rFonts w:hint="eastAsia" w:ascii="宋体" w:hAnsi="宋体" w:cs="宋体"/>
                <w:kern w:val="0"/>
                <w:sz w:val="24"/>
                <w:szCs w:val="24"/>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中高风险</w:t>
            </w:r>
            <w:r>
              <w:rPr>
                <w:rFonts w:ascii="宋体" w:hAns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PR4</w:t>
            </w:r>
            <w:r>
              <w:rPr>
                <w:rFonts w:hint="eastAsia" w:ascii="宋体" w:hAnsi="宋体" w:cs="宋体"/>
                <w:kern w:val="0"/>
                <w:sz w:val="24"/>
                <w:szCs w:val="24"/>
              </w:rPr>
              <w:t>）</w:t>
            </w:r>
          </w:p>
        </w:tc>
        <w:tc>
          <w:tcPr>
            <w:tcW w:w="741"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高风险</w:t>
            </w:r>
            <w:r>
              <w:rPr>
                <w:rFonts w:ascii="宋体" w:hAns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PR5</w:t>
            </w:r>
            <w:r>
              <w:rPr>
                <w:rFonts w:hint="eastAsia" w:ascii="宋体" w:hAnsi="宋体" w:cs="宋体"/>
                <w:kern w:val="0"/>
                <w:sz w:val="24"/>
                <w:szCs w:val="24"/>
              </w:rPr>
              <w:t>）</w:t>
            </w:r>
          </w:p>
        </w:tc>
      </w:tr>
      <w:tr>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color w:val="333333"/>
                <w:sz w:val="24"/>
                <w:szCs w:val="24"/>
              </w:rPr>
              <w:t>一级，保守型客户</w:t>
            </w:r>
            <w:r>
              <w:rPr>
                <w:rFonts w:hint="eastAsia" w:ascii="宋体" w:hAnsi="宋体" w:cs="宋体"/>
                <w:kern w:val="0"/>
                <w:sz w:val="24"/>
                <w:szCs w:val="24"/>
              </w:rPr>
              <w:t xml:space="preserve"> </w:t>
            </w:r>
          </w:p>
        </w:tc>
        <w:tc>
          <w:tcPr>
            <w:tcW w:w="741"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spacing w:val="10"/>
                <w:sz w:val="24"/>
                <w:szCs w:val="24"/>
              </w:rPr>
              <w:t>×</w:t>
            </w:r>
          </w:p>
        </w:tc>
      </w:tr>
      <w:tr>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color w:val="333333"/>
                <w:sz w:val="24"/>
                <w:szCs w:val="24"/>
              </w:rPr>
              <w:t>二级，谨慎型客户</w:t>
            </w:r>
            <w:r>
              <w:rPr>
                <w:rFonts w:hint="eastAsia" w:ascii="宋体" w:hAnsi="宋体" w:cs="宋体"/>
                <w:kern w:val="0"/>
                <w:sz w:val="24"/>
                <w:szCs w:val="24"/>
              </w:rPr>
              <w:t xml:space="preserve"> </w:t>
            </w:r>
          </w:p>
        </w:tc>
        <w:tc>
          <w:tcPr>
            <w:tcW w:w="741"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spacing w:val="10"/>
                <w:sz w:val="24"/>
                <w:szCs w:val="24"/>
              </w:rPr>
              <w:t>×</w:t>
            </w:r>
          </w:p>
        </w:tc>
      </w:tr>
      <w:tr>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color w:val="333333"/>
                <w:sz w:val="24"/>
                <w:szCs w:val="24"/>
              </w:rPr>
              <w:t>三级，稳健型客户</w:t>
            </w:r>
            <w:r>
              <w:rPr>
                <w:rFonts w:hint="eastAsia" w:ascii="宋体" w:hAnsi="宋体" w:cs="宋体"/>
                <w:kern w:val="0"/>
                <w:sz w:val="24"/>
                <w:szCs w:val="24"/>
              </w:rPr>
              <w:t xml:space="preserve">   </w:t>
            </w:r>
          </w:p>
        </w:tc>
        <w:tc>
          <w:tcPr>
            <w:tcW w:w="741"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r>
      <w:tr>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color w:val="333333"/>
                <w:sz w:val="24"/>
                <w:szCs w:val="24"/>
              </w:rPr>
              <w:t>四级，进取型客户</w:t>
            </w:r>
            <w:r>
              <w:rPr>
                <w:rFonts w:hint="eastAsia" w:ascii="宋体" w:hAnsi="宋体" w:cs="宋体"/>
                <w:kern w:val="0"/>
                <w:sz w:val="24"/>
                <w:szCs w:val="24"/>
              </w:rPr>
              <w:t xml:space="preserve">  </w:t>
            </w:r>
          </w:p>
        </w:tc>
        <w:tc>
          <w:tcPr>
            <w:tcW w:w="741"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r>
      <w:tr>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color w:val="333333"/>
                <w:sz w:val="24"/>
                <w:szCs w:val="24"/>
              </w:rPr>
              <w:t>五级，积极进取型客户</w:t>
            </w:r>
            <w:r>
              <w:rPr>
                <w:rFonts w:hint="eastAsia" w:ascii="宋体" w:hAnsi="宋体" w:cs="宋体"/>
                <w:kern w:val="0"/>
                <w:sz w:val="24"/>
                <w:szCs w:val="24"/>
              </w:rPr>
              <w:t xml:space="preserve">   </w:t>
            </w:r>
          </w:p>
        </w:tc>
        <w:tc>
          <w:tcPr>
            <w:tcW w:w="741"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r>
    </w:tbl>
    <w:p>
      <w:pPr>
        <w:pStyle w:val="13"/>
        <w:spacing w:before="0" w:after="0" w:line="240" w:lineRule="auto"/>
        <w:ind w:firstLine="520" w:firstLineChars="200"/>
        <w:jc w:val="center"/>
        <w:rPr>
          <w:b/>
          <w:color w:val="auto"/>
          <w:spacing w:val="10"/>
          <w:kern w:val="2"/>
          <w:sz w:val="24"/>
          <w:szCs w:val="24"/>
        </w:rPr>
      </w:pPr>
      <w:r>
        <w:rPr>
          <w:rFonts w:hint="eastAsia"/>
          <w:color w:val="auto"/>
          <w:spacing w:val="10"/>
          <w:kern w:val="2"/>
          <w:sz w:val="24"/>
          <w:szCs w:val="24"/>
        </w:rPr>
        <w:t>备注：√代表可以购买；×代表不能购买。</w:t>
      </w:r>
    </w:p>
    <w:p>
      <w:pPr>
        <w:pStyle w:val="13"/>
        <w:spacing w:before="0" w:after="0" w:line="240" w:lineRule="auto"/>
        <w:ind w:firstLine="522" w:firstLineChars="200"/>
        <w:rPr>
          <w:b/>
          <w:color w:val="auto"/>
          <w:spacing w:val="10"/>
          <w:kern w:val="2"/>
          <w:sz w:val="24"/>
          <w:szCs w:val="24"/>
        </w:rPr>
      </w:pPr>
      <w:r>
        <w:rPr>
          <w:rFonts w:hint="eastAsia"/>
          <w:b/>
          <w:color w:val="auto"/>
          <w:spacing w:val="10"/>
          <w:kern w:val="2"/>
          <w:sz w:val="24"/>
          <w:szCs w:val="24"/>
        </w:rPr>
        <w:t>第五条 理财产品信息披露的方式、渠道和频率说明</w:t>
      </w:r>
    </w:p>
    <w:p>
      <w:pPr>
        <w:pStyle w:val="13"/>
        <w:spacing w:before="0" w:after="0" w:line="240" w:lineRule="auto"/>
        <w:ind w:firstLine="520" w:firstLineChars="200"/>
        <w:rPr>
          <w:bCs/>
          <w:color w:val="auto"/>
          <w:spacing w:val="10"/>
          <w:kern w:val="2"/>
          <w:sz w:val="24"/>
          <w:szCs w:val="24"/>
        </w:rPr>
      </w:pPr>
      <w:r>
        <w:rPr>
          <w:rFonts w:hint="eastAsia"/>
          <w:bCs/>
          <w:color w:val="auto"/>
          <w:spacing w:val="10"/>
          <w:kern w:val="2"/>
          <w:sz w:val="24"/>
          <w:szCs w:val="24"/>
        </w:rPr>
        <w:t>南银理财按照对应期次《理财产品说明书》约定的方式、渠道和频率进行信息披露。投资者应密切关注与本理财产品有关的信息披露，以免造成不必要的损失。</w:t>
      </w:r>
    </w:p>
    <w:p>
      <w:pPr>
        <w:pStyle w:val="13"/>
        <w:spacing w:before="0" w:after="0" w:line="240" w:lineRule="auto"/>
        <w:ind w:firstLine="520" w:firstLineChars="200"/>
        <w:rPr>
          <w:bCs/>
          <w:color w:val="auto"/>
          <w:spacing w:val="10"/>
          <w:kern w:val="2"/>
          <w:sz w:val="24"/>
          <w:szCs w:val="24"/>
        </w:rPr>
      </w:pPr>
      <w:r>
        <w:rPr>
          <w:rFonts w:hint="eastAsia"/>
          <w:bCs/>
          <w:color w:val="auto"/>
          <w:spacing w:val="10"/>
          <w:kern w:val="2"/>
          <w:sz w:val="24"/>
          <w:szCs w:val="24"/>
        </w:rPr>
        <w:t>投资者预留在南银理财或销售机构的有效联系方式变更的，应及时通知南银理财或销售机构。</w:t>
      </w:r>
      <w:r>
        <w:rPr>
          <w:rFonts w:hint="eastAsia"/>
          <w:b/>
          <w:color w:val="auto"/>
          <w:spacing w:val="10"/>
          <w:kern w:val="2"/>
          <w:sz w:val="24"/>
          <w:szCs w:val="24"/>
        </w:rPr>
        <w:t>如投资者未及时告知南银理财或销售机构联系方式变更，造成南银理财或销售机构在需要时无法联系投资者，并由此影响投资者的投资决策，因此而产生的责任和风险由投资者自行承担。</w:t>
      </w:r>
    </w:p>
    <w:p>
      <w:pPr>
        <w:pStyle w:val="13"/>
        <w:spacing w:before="0" w:after="0" w:line="240" w:lineRule="auto"/>
        <w:ind w:firstLine="522" w:firstLineChars="200"/>
        <w:rPr>
          <w:bCs/>
          <w:color w:val="auto"/>
          <w:spacing w:val="10"/>
          <w:kern w:val="2"/>
          <w:sz w:val="24"/>
          <w:szCs w:val="24"/>
        </w:rPr>
      </w:pPr>
      <w:r>
        <w:rPr>
          <w:rFonts w:hint="eastAsia"/>
          <w:b/>
          <w:color w:val="auto"/>
          <w:spacing w:val="10"/>
          <w:kern w:val="2"/>
          <w:sz w:val="24"/>
          <w:szCs w:val="24"/>
        </w:rPr>
        <w:t>第六条 投资者信息保护</w:t>
      </w:r>
    </w:p>
    <w:p>
      <w:pPr>
        <w:pStyle w:val="13"/>
        <w:spacing w:before="0" w:after="0" w:line="240" w:lineRule="auto"/>
        <w:ind w:firstLine="520" w:firstLineChars="200"/>
        <w:rPr>
          <w:bCs/>
          <w:color w:val="auto"/>
          <w:spacing w:val="10"/>
          <w:kern w:val="2"/>
          <w:sz w:val="24"/>
          <w:szCs w:val="24"/>
        </w:rPr>
      </w:pPr>
      <w:r>
        <w:rPr>
          <w:rFonts w:hint="eastAsia"/>
          <w:bCs/>
          <w:color w:val="auto"/>
          <w:spacing w:val="10"/>
          <w:kern w:val="2"/>
          <w:sz w:val="24"/>
          <w:szCs w:val="24"/>
        </w:rPr>
        <w:t>南银理财及销售机构承诺依法履行投资者信息保密义务，防范投资者信息被不当采集、使用、传输和泄露，保护投资者的信息安全，法律法规另有规定，或有权机关另有要求的情形除外。</w:t>
      </w:r>
    </w:p>
    <w:p>
      <w:pPr>
        <w:pStyle w:val="13"/>
        <w:spacing w:before="0" w:after="0" w:line="240" w:lineRule="auto"/>
        <w:ind w:firstLine="522" w:firstLineChars="200"/>
        <w:rPr>
          <w:b/>
          <w:color w:val="auto"/>
          <w:spacing w:val="10"/>
          <w:kern w:val="2"/>
          <w:sz w:val="24"/>
          <w:szCs w:val="24"/>
        </w:rPr>
      </w:pPr>
      <w:r>
        <w:rPr>
          <w:rFonts w:hint="eastAsia"/>
          <w:b/>
          <w:color w:val="auto"/>
          <w:spacing w:val="10"/>
          <w:kern w:val="2"/>
          <w:sz w:val="24"/>
          <w:szCs w:val="24"/>
        </w:rPr>
        <w:t>第七条 投资者投诉的方式和程序</w:t>
      </w:r>
    </w:p>
    <w:p>
      <w:pPr>
        <w:pStyle w:val="13"/>
        <w:spacing w:before="0" w:after="0" w:line="240" w:lineRule="auto"/>
        <w:ind w:firstLine="520" w:firstLineChars="200"/>
        <w:rPr>
          <w:bCs/>
          <w:color w:val="auto"/>
          <w:spacing w:val="10"/>
          <w:kern w:val="2"/>
          <w:sz w:val="24"/>
          <w:szCs w:val="24"/>
        </w:rPr>
      </w:pPr>
      <w:r>
        <w:rPr>
          <w:rFonts w:hint="eastAsia"/>
          <w:bCs/>
          <w:color w:val="auto"/>
          <w:spacing w:val="10"/>
          <w:kern w:val="2"/>
          <w:sz w:val="24"/>
          <w:szCs w:val="24"/>
        </w:rPr>
        <w:t>投资者若需针对产品的设计、成立、运作、到期清算或提前终止等事项进行投诉，</w:t>
      </w:r>
      <w:r>
        <w:rPr>
          <w:rFonts w:hint="eastAsia"/>
          <w:b/>
          <w:color w:val="auto"/>
          <w:spacing w:val="10"/>
          <w:kern w:val="2"/>
          <w:sz w:val="24"/>
          <w:szCs w:val="24"/>
        </w:rPr>
        <w:t>可与管理人或销售机构联系，管理人或销售机构将及时接听、记录投资者的意见或建议</w:t>
      </w:r>
      <w:r>
        <w:rPr>
          <w:b/>
          <w:color w:val="auto"/>
          <w:spacing w:val="10"/>
          <w:kern w:val="2"/>
          <w:sz w:val="24"/>
          <w:szCs w:val="24"/>
        </w:rPr>
        <w:t>，</w:t>
      </w:r>
      <w:r>
        <w:rPr>
          <w:rFonts w:hint="eastAsia"/>
          <w:b/>
          <w:color w:val="auto"/>
          <w:spacing w:val="10"/>
          <w:kern w:val="2"/>
          <w:sz w:val="24"/>
          <w:szCs w:val="24"/>
        </w:rPr>
        <w:t>并与投资者协商共同解决</w:t>
      </w:r>
      <w:r>
        <w:rPr>
          <w:rFonts w:hint="eastAsia"/>
          <w:bCs/>
          <w:color w:val="auto"/>
          <w:spacing w:val="10"/>
          <w:kern w:val="2"/>
          <w:sz w:val="24"/>
          <w:szCs w:val="24"/>
        </w:rPr>
        <w:t>。</w:t>
      </w:r>
    </w:p>
    <w:p>
      <w:pPr>
        <w:pStyle w:val="13"/>
        <w:spacing w:before="0" w:after="0" w:line="240" w:lineRule="auto"/>
        <w:ind w:firstLine="522" w:firstLineChars="200"/>
        <w:rPr>
          <w:b/>
          <w:color w:val="auto"/>
          <w:spacing w:val="10"/>
          <w:kern w:val="2"/>
          <w:sz w:val="24"/>
          <w:szCs w:val="24"/>
        </w:rPr>
      </w:pPr>
      <w:r>
        <w:rPr>
          <w:rFonts w:hint="eastAsia"/>
          <w:b/>
          <w:color w:val="auto"/>
          <w:spacing w:val="10"/>
          <w:kern w:val="2"/>
          <w:sz w:val="24"/>
          <w:szCs w:val="24"/>
        </w:rPr>
        <w:t>第八条 联系方式</w:t>
      </w:r>
    </w:p>
    <w:p>
      <w:pPr>
        <w:numPr>
          <w:ilvl w:val="0"/>
          <w:numId w:val="0"/>
        </w:numPr>
        <w:spacing w:line="360" w:lineRule="auto"/>
        <w:ind w:firstLine="522" w:firstLineChars="200"/>
        <w:rPr>
          <w:rFonts w:hint="eastAsia"/>
          <w:b/>
          <w:color w:val="auto"/>
          <w:spacing w:val="10"/>
          <w:kern w:val="2"/>
          <w:sz w:val="24"/>
          <w:szCs w:val="24"/>
        </w:rPr>
      </w:pPr>
      <w:r>
        <w:rPr>
          <w:rFonts w:hint="eastAsia"/>
          <w:b/>
          <w:color w:val="auto"/>
          <w:spacing w:val="10"/>
          <w:kern w:val="2"/>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pPr>
        <w:pStyle w:val="13"/>
        <w:spacing w:before="0" w:after="0" w:line="240" w:lineRule="auto"/>
        <w:ind w:firstLine="522" w:firstLineChars="200"/>
        <w:rPr>
          <w:b/>
          <w:color w:val="auto"/>
          <w:spacing w:val="10"/>
          <w:kern w:val="2"/>
          <w:sz w:val="24"/>
          <w:szCs w:val="24"/>
        </w:rPr>
      </w:pPr>
      <w:r>
        <w:rPr>
          <w:rFonts w:hint="eastAsia"/>
          <w:b/>
          <w:color w:val="auto"/>
          <w:spacing w:val="10"/>
          <w:kern w:val="2"/>
          <w:sz w:val="24"/>
          <w:szCs w:val="24"/>
        </w:rPr>
        <w:t>联系方式分别如下：</w:t>
      </w:r>
    </w:p>
    <w:p>
      <w:pPr>
        <w:pStyle w:val="13"/>
        <w:spacing w:before="0" w:after="0" w:line="240" w:lineRule="auto"/>
        <w:ind w:firstLine="520" w:firstLineChars="200"/>
        <w:rPr>
          <w:bCs/>
          <w:color w:val="auto"/>
          <w:spacing w:val="10"/>
          <w:kern w:val="2"/>
          <w:sz w:val="24"/>
          <w:szCs w:val="24"/>
        </w:rPr>
      </w:pPr>
      <w:r>
        <w:rPr>
          <w:rFonts w:hint="eastAsia"/>
          <w:bCs/>
          <w:color w:val="auto"/>
          <w:spacing w:val="10"/>
          <w:kern w:val="2"/>
          <w:sz w:val="24"/>
          <w:szCs w:val="24"/>
        </w:rPr>
        <w:t>（一）南银理财联系方式</w:t>
      </w:r>
    </w:p>
    <w:p>
      <w:pPr>
        <w:pStyle w:val="13"/>
        <w:spacing w:before="0" w:after="0" w:line="240" w:lineRule="auto"/>
        <w:ind w:firstLine="520" w:firstLineChars="200"/>
        <w:rPr>
          <w:rFonts w:hint="eastAsia"/>
          <w:bCs/>
          <w:color w:val="auto"/>
          <w:spacing w:val="10"/>
          <w:kern w:val="2"/>
          <w:sz w:val="24"/>
          <w:szCs w:val="24"/>
        </w:rPr>
      </w:pPr>
      <w:permStart w:id="3" w:edGrp="everyone"/>
      <w:r>
        <w:rPr>
          <w:rFonts w:hint="eastAsia"/>
          <w:bCs/>
          <w:color w:val="auto"/>
          <w:spacing w:val="10"/>
          <w:kern w:val="2"/>
          <w:sz w:val="24"/>
          <w:szCs w:val="24"/>
        </w:rPr>
        <w:t xml:space="preserve"> 南京市建邺区奥体大街68号国际研发总部园2栋13、14楼</w:t>
      </w:r>
    </w:p>
    <w:p>
      <w:pPr>
        <w:pStyle w:val="13"/>
        <w:spacing w:before="0" w:after="0" w:line="240" w:lineRule="auto"/>
        <w:ind w:firstLine="650" w:firstLineChars="250"/>
        <w:rPr>
          <w:bCs/>
          <w:color w:val="auto"/>
          <w:spacing w:val="10"/>
          <w:kern w:val="2"/>
          <w:sz w:val="24"/>
          <w:szCs w:val="24"/>
        </w:rPr>
      </w:pPr>
      <w:r>
        <w:rPr>
          <w:rFonts w:hint="eastAsia"/>
          <w:bCs/>
          <w:color w:val="auto"/>
          <w:spacing w:val="10"/>
          <w:kern w:val="2"/>
          <w:sz w:val="24"/>
          <w:szCs w:val="24"/>
        </w:rPr>
        <w:t xml:space="preserve">电话：025-83642065 </w:t>
      </w:r>
      <w:permEnd w:id="3"/>
    </w:p>
    <w:p>
      <w:pPr>
        <w:pStyle w:val="13"/>
        <w:spacing w:before="0" w:after="0" w:line="240" w:lineRule="auto"/>
        <w:ind w:firstLine="520" w:firstLineChars="200"/>
        <w:rPr>
          <w:bCs/>
          <w:color w:val="auto"/>
          <w:spacing w:val="10"/>
          <w:kern w:val="2"/>
          <w:sz w:val="24"/>
          <w:szCs w:val="24"/>
        </w:rPr>
      </w:pPr>
      <w:r>
        <w:rPr>
          <w:rFonts w:hint="eastAsia"/>
          <w:bCs/>
          <w:color w:val="auto"/>
          <w:spacing w:val="10"/>
          <w:kern w:val="2"/>
          <w:sz w:val="24"/>
          <w:szCs w:val="24"/>
        </w:rPr>
        <w:t>（二）销售机构联系方式</w:t>
      </w:r>
    </w:p>
    <w:p>
      <w:pPr>
        <w:pStyle w:val="13"/>
        <w:spacing w:before="0" w:after="0" w:line="240" w:lineRule="auto"/>
        <w:ind w:firstLine="480" w:firstLineChars="200"/>
        <w:rPr>
          <w:rFonts w:hint="eastAsia" w:ascii="宋体" w:hAnsi="宋体"/>
          <w:kern w:val="0"/>
          <w:sz w:val="24"/>
          <w:szCs w:val="24"/>
          <w:lang w:val="zh-CN"/>
        </w:rPr>
      </w:pPr>
      <w:r>
        <w:rPr>
          <w:rFonts w:hint="eastAsia" w:ascii="宋体" w:hAnsi="宋体"/>
          <w:kern w:val="0"/>
          <w:sz w:val="24"/>
          <w:szCs w:val="24"/>
          <w:lang w:val="zh-CN"/>
        </w:rPr>
        <w:t>石嘴山银行（销售机构）24小时客户服务热线：</w:t>
      </w:r>
      <w:r>
        <w:rPr>
          <w:rFonts w:hint="eastAsia" w:ascii="宋体" w:hAnsi="宋体"/>
          <w:kern w:val="0"/>
          <w:sz w:val="24"/>
          <w:szCs w:val="24"/>
          <w:lang w:val="en-US" w:eastAsia="zh-CN"/>
        </w:rPr>
        <w:t>0951-</w:t>
      </w:r>
      <w:r>
        <w:rPr>
          <w:rFonts w:hint="eastAsia" w:ascii="宋体" w:hAnsi="宋体"/>
          <w:kern w:val="0"/>
          <w:sz w:val="24"/>
          <w:szCs w:val="24"/>
          <w:lang w:val="zh-CN"/>
        </w:rPr>
        <w:t>96789</w:t>
      </w:r>
    </w:p>
    <w:p>
      <w:pPr>
        <w:pStyle w:val="13"/>
        <w:spacing w:before="0" w:after="0" w:line="240" w:lineRule="auto"/>
        <w:ind w:firstLine="480" w:firstLineChars="200"/>
        <w:rPr>
          <w:b/>
          <w:color w:val="auto"/>
          <w:spacing w:val="10"/>
          <w:kern w:val="2"/>
          <w:sz w:val="24"/>
          <w:szCs w:val="24"/>
        </w:rPr>
      </w:pPr>
      <w:r>
        <w:rPr>
          <w:rFonts w:hint="eastAsia" w:ascii="宋体" w:hAnsi="宋体"/>
          <w:kern w:val="0"/>
          <w:sz w:val="24"/>
          <w:szCs w:val="24"/>
        </w:rPr>
        <w:t>石嘴山银行官网网站：</w:t>
      </w:r>
      <w:r>
        <w:rPr>
          <w:rFonts w:ascii="宋体" w:hAnsi="宋体"/>
          <w:kern w:val="0"/>
          <w:sz w:val="24"/>
          <w:szCs w:val="24"/>
        </w:rPr>
        <w:fldChar w:fldCharType="begin"/>
      </w:r>
      <w:r>
        <w:rPr>
          <w:rFonts w:ascii="宋体" w:hAnsi="宋体"/>
          <w:kern w:val="0"/>
          <w:sz w:val="24"/>
          <w:szCs w:val="24"/>
        </w:rPr>
        <w:instrText xml:space="preserve"> HYPERLINK "http://</w:instrText>
      </w:r>
      <w:r>
        <w:rPr>
          <w:rFonts w:hint="eastAsia" w:ascii="宋体" w:hAnsi="宋体"/>
          <w:kern w:val="0"/>
          <w:sz w:val="24"/>
          <w:szCs w:val="24"/>
        </w:rPr>
        <w:instrText xml:space="preserve">www.szsccb.com</w:instrText>
      </w:r>
      <w:r>
        <w:rPr>
          <w:rFonts w:ascii="宋体" w:hAnsi="宋体"/>
          <w:kern w:val="0"/>
          <w:sz w:val="24"/>
          <w:szCs w:val="24"/>
        </w:rPr>
        <w:instrText xml:space="preserve">" </w:instrText>
      </w:r>
      <w:r>
        <w:rPr>
          <w:rFonts w:ascii="宋体" w:hAnsi="宋体"/>
          <w:kern w:val="0"/>
          <w:sz w:val="24"/>
          <w:szCs w:val="24"/>
        </w:rPr>
        <w:fldChar w:fldCharType="separate"/>
      </w:r>
      <w:r>
        <w:rPr>
          <w:rStyle w:val="17"/>
          <w:rFonts w:hint="eastAsia" w:ascii="宋体" w:hAnsi="宋体"/>
          <w:kern w:val="0"/>
          <w:sz w:val="24"/>
          <w:szCs w:val="24"/>
        </w:rPr>
        <w:t>www.szsccb.com</w:t>
      </w:r>
      <w:r>
        <w:rPr>
          <w:rFonts w:ascii="宋体" w:hAnsi="宋体"/>
          <w:kern w:val="0"/>
          <w:sz w:val="24"/>
          <w:szCs w:val="24"/>
        </w:rPr>
        <w:fldChar w:fldCharType="end"/>
      </w:r>
      <w:r>
        <w:rPr>
          <w:rFonts w:hint="eastAsia" w:ascii="宋体" w:hAnsi="宋体"/>
          <w:kern w:val="0"/>
          <w:sz w:val="24"/>
          <w:szCs w:val="24"/>
        </w:rPr>
        <w:t>。</w:t>
      </w:r>
    </w:p>
    <w:p>
      <w:pPr>
        <w:pStyle w:val="13"/>
        <w:spacing w:before="0" w:after="0" w:line="240" w:lineRule="auto"/>
        <w:ind w:firstLine="0"/>
        <w:jc w:val="both"/>
        <w:rPr>
          <w:b/>
          <w:color w:val="auto"/>
          <w:spacing w:val="10"/>
          <w:kern w:val="2"/>
          <w:sz w:val="24"/>
          <w:szCs w:val="24"/>
          <w:u w:val="single"/>
        </w:rPr>
      </w:pPr>
    </w:p>
    <w:p>
      <w:pPr>
        <w:pStyle w:val="13"/>
        <w:spacing w:before="0" w:after="0" w:line="240" w:lineRule="auto"/>
        <w:ind w:firstLine="0"/>
        <w:jc w:val="center"/>
        <w:rPr>
          <w:b/>
          <w:color w:val="auto"/>
          <w:spacing w:val="10"/>
          <w:kern w:val="2"/>
          <w:sz w:val="24"/>
          <w:szCs w:val="24"/>
          <w:u w:val="single"/>
        </w:rPr>
      </w:pPr>
      <w:r>
        <w:rPr>
          <w:rFonts w:hint="eastAsia"/>
          <w:b/>
          <w:color w:val="auto"/>
          <w:spacing w:val="10"/>
          <w:kern w:val="2"/>
          <w:sz w:val="24"/>
          <w:szCs w:val="24"/>
          <w:u w:val="single"/>
        </w:rPr>
        <w:t>仔细阅读提示</w:t>
      </w:r>
    </w:p>
    <w:p>
      <w:pPr>
        <w:ind w:firstLine="522" w:firstLineChars="200"/>
        <w:rPr>
          <w:b/>
          <w:spacing w:val="10"/>
          <w:sz w:val="24"/>
          <w:szCs w:val="24"/>
          <w:u w:val="single"/>
        </w:rPr>
      </w:pPr>
      <w:r>
        <w:rPr>
          <w:rFonts w:hint="eastAsia"/>
          <w:b/>
          <w:spacing w:val="10"/>
          <w:sz w:val="24"/>
          <w:szCs w:val="24"/>
          <w:u w:val="single"/>
        </w:rPr>
        <w:t>请投资者务必仔细阅读本理财产品销售文件，包括但不限于</w:t>
      </w:r>
      <w:bookmarkStart w:id="32" w:name="_Hlk49171075"/>
      <w:r>
        <w:rPr>
          <w:rFonts w:hint="eastAsia"/>
          <w:b/>
          <w:spacing w:val="10"/>
          <w:sz w:val="24"/>
          <w:szCs w:val="24"/>
          <w:u w:val="single"/>
        </w:rPr>
        <w:t>本理财产品对应的</w:t>
      </w:r>
      <w:bookmarkEnd w:id="32"/>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pPr>
        <w:rPr>
          <w:sz w:val="24"/>
          <w:szCs w:val="24"/>
        </w:rPr>
      </w:pPr>
    </w:p>
    <w:p>
      <w:r>
        <w:br w:type="page"/>
      </w:r>
    </w:p>
    <w:p>
      <w:pPr>
        <w:pStyle w:val="3"/>
        <w:spacing w:line="360" w:lineRule="auto"/>
        <w:ind w:firstLine="0" w:firstLineChars="0"/>
        <w:jc w:val="center"/>
        <w:rPr>
          <w:rFonts w:ascii="宋体" w:hAnsi="宋体" w:cs="宋体"/>
          <w:b/>
          <w:sz w:val="24"/>
          <w:szCs w:val="24"/>
        </w:rPr>
      </w:pPr>
      <w:r>
        <w:rPr>
          <w:rFonts w:hint="eastAsia" w:ascii="宋体" w:hAnsi="宋体" w:cs="FZSSK--GBK1-0"/>
          <w:b/>
          <w:kern w:val="0"/>
          <w:sz w:val="24"/>
          <w:szCs w:val="24"/>
        </w:rPr>
        <w:t>理财产品投资协议书</w:t>
      </w:r>
    </w:p>
    <w:p>
      <w:pPr>
        <w:pStyle w:val="3"/>
        <w:spacing w:line="360" w:lineRule="auto"/>
        <w:ind w:firstLine="440"/>
        <w:rPr>
          <w:rFonts w:ascii="宋体" w:hAnsi="宋体" w:cs="宋体"/>
          <w:sz w:val="22"/>
          <w:szCs w:val="24"/>
        </w:rPr>
      </w:pPr>
      <w:r>
        <w:rPr>
          <w:rFonts w:hint="eastAsia" w:ascii="宋体" w:hAnsi="宋体" w:cs="宋体"/>
          <w:sz w:val="22"/>
          <w:szCs w:val="24"/>
        </w:rPr>
        <w:t>经南银理财有限责任公司（下称“甲方”或“理财产品管理人”）与投资者（下称“乙方”）协商一致，就乙方购买的对应期次理财产品投资事宜，达成如下协议：</w:t>
      </w:r>
    </w:p>
    <w:p>
      <w:pPr>
        <w:pStyle w:val="3"/>
        <w:spacing w:line="360" w:lineRule="auto"/>
        <w:ind w:firstLine="442" w:firstLineChars="0"/>
        <w:rPr>
          <w:rFonts w:ascii="宋体" w:hAnsi="宋体" w:cs="宋体"/>
          <w:b/>
          <w:bCs/>
          <w:sz w:val="22"/>
          <w:szCs w:val="24"/>
        </w:rPr>
      </w:pPr>
      <w:r>
        <w:rPr>
          <w:rFonts w:hint="eastAsia" w:ascii="宋体" w:hAnsi="宋体" w:cs="宋体"/>
          <w:b/>
          <w:bCs/>
          <w:sz w:val="22"/>
          <w:szCs w:val="24"/>
        </w:rPr>
        <w:t>一、重要提示</w:t>
      </w:r>
    </w:p>
    <w:p>
      <w:pPr>
        <w:pStyle w:val="3"/>
        <w:spacing w:line="360" w:lineRule="auto"/>
        <w:ind w:firstLine="440" w:firstLineChars="0"/>
        <w:rPr>
          <w:rFonts w:ascii="宋体" w:hAnsi="宋体" w:cs="宋体"/>
          <w:sz w:val="22"/>
          <w:szCs w:val="24"/>
        </w:rPr>
      </w:pPr>
      <w:r>
        <w:rPr>
          <w:rFonts w:hint="eastAsia" w:ascii="宋体" w:hAnsi="宋体" w:cs="宋体"/>
          <w:b/>
          <w:sz w:val="22"/>
          <w:szCs w:val="24"/>
        </w:rPr>
        <w:t>理财非存款、产品有风险、投资须谨慎。</w:t>
      </w:r>
      <w:r>
        <w:rPr>
          <w:rFonts w:hint="eastAsia" w:ascii="宋体" w:hAnsi="宋体" w:cs="宋体"/>
          <w:sz w:val="22"/>
          <w:szCs w:val="24"/>
        </w:rPr>
        <w:t>理财产品面临</w:t>
      </w:r>
      <w:r>
        <w:rPr>
          <w:rFonts w:ascii="宋体" w:hAnsi="宋体" w:cs="宋体"/>
          <w:sz w:val="22"/>
          <w:szCs w:val="24"/>
        </w:rPr>
        <w:t>的风险详见</w:t>
      </w:r>
      <w:r>
        <w:rPr>
          <w:rFonts w:hint="eastAsia" w:ascii="宋体" w:hAnsi="宋体" w:cs="宋体"/>
          <w:sz w:val="22"/>
          <w:szCs w:val="24"/>
        </w:rPr>
        <w:t>对应期次《理财产品风险揭示书》和《理财产品说明书》的详细条款，乙方</w:t>
      </w:r>
      <w:r>
        <w:rPr>
          <w:rFonts w:ascii="宋体" w:hAnsi="宋体" w:cs="宋体"/>
          <w:sz w:val="22"/>
          <w:szCs w:val="24"/>
        </w:rPr>
        <w:t>应</w:t>
      </w:r>
      <w:r>
        <w:rPr>
          <w:rFonts w:hint="eastAsia" w:ascii="宋体" w:hAnsi="宋体" w:cs="宋体"/>
          <w:sz w:val="22"/>
          <w:szCs w:val="24"/>
        </w:rPr>
        <w:t>仔细阅读并充分理解对应期次理财产品可能</w:t>
      </w:r>
      <w:r>
        <w:rPr>
          <w:rFonts w:ascii="宋体" w:hAnsi="宋体" w:cs="宋体"/>
          <w:sz w:val="22"/>
          <w:szCs w:val="24"/>
        </w:rPr>
        <w:t>发生的风险</w:t>
      </w:r>
      <w:r>
        <w:rPr>
          <w:rFonts w:hint="eastAsia" w:ascii="宋体" w:hAnsi="宋体" w:cs="宋体"/>
          <w:sz w:val="22"/>
          <w:szCs w:val="24"/>
        </w:rPr>
        <w:t>。</w:t>
      </w:r>
    </w:p>
    <w:p>
      <w:pPr>
        <w:pStyle w:val="3"/>
        <w:spacing w:line="360" w:lineRule="auto"/>
        <w:ind w:firstLine="442" w:firstLineChars="0"/>
        <w:rPr>
          <w:rFonts w:ascii="宋体" w:hAnsi="宋体" w:cs="宋体"/>
          <w:sz w:val="22"/>
          <w:szCs w:val="24"/>
        </w:rPr>
      </w:pPr>
      <w:r>
        <w:rPr>
          <w:rFonts w:hint="eastAsia" w:ascii="宋体" w:hAnsi="宋体" w:cs="宋体"/>
          <w:b/>
          <w:bCs/>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pPr>
        <w:pStyle w:val="3"/>
        <w:spacing w:line="360" w:lineRule="auto"/>
        <w:ind w:firstLine="442"/>
        <w:rPr>
          <w:rFonts w:ascii="宋体" w:hAnsi="宋体" w:cs="宋体"/>
          <w:b/>
          <w:sz w:val="22"/>
          <w:szCs w:val="24"/>
        </w:rPr>
      </w:pPr>
      <w:r>
        <w:rPr>
          <w:rFonts w:hint="eastAsia" w:ascii="宋体" w:hAnsi="宋体" w:cs="宋体"/>
          <w:b/>
          <w:sz w:val="22"/>
          <w:szCs w:val="24"/>
        </w:rPr>
        <w:t>二、</w:t>
      </w:r>
      <w:r>
        <w:rPr>
          <w:rFonts w:ascii="宋体" w:hAnsi="宋体" w:cs="宋体"/>
          <w:b/>
          <w:sz w:val="22"/>
          <w:szCs w:val="24"/>
        </w:rPr>
        <w:t>双方权利与义务</w:t>
      </w:r>
    </w:p>
    <w:p>
      <w:pPr>
        <w:pStyle w:val="3"/>
        <w:spacing w:line="360" w:lineRule="auto"/>
        <w:ind w:firstLine="440"/>
        <w:rPr>
          <w:rFonts w:ascii="宋体" w:hAnsi="宋体" w:cs="宋体"/>
          <w:sz w:val="22"/>
          <w:szCs w:val="24"/>
        </w:rPr>
      </w:pPr>
      <w:r>
        <w:rPr>
          <w:rFonts w:ascii="宋体" w:hAnsi="宋体" w:cs="宋体"/>
          <w:sz w:val="22"/>
          <w:szCs w:val="24"/>
        </w:rPr>
        <w:t>（</w:t>
      </w:r>
      <w:r>
        <w:rPr>
          <w:rFonts w:hint="eastAsia" w:ascii="宋体" w:hAnsi="宋体" w:cs="宋体"/>
          <w:sz w:val="22"/>
          <w:szCs w:val="24"/>
        </w:rPr>
        <w:t>一</w:t>
      </w:r>
      <w:r>
        <w:rPr>
          <w:rFonts w:ascii="宋体" w:hAnsi="宋体" w:cs="宋体"/>
          <w:sz w:val="22"/>
          <w:szCs w:val="24"/>
        </w:rPr>
        <w:t>）</w:t>
      </w:r>
      <w:r>
        <w:rPr>
          <w:rFonts w:hint="eastAsia" w:ascii="宋体" w:hAnsi="宋体" w:cs="宋体"/>
          <w:sz w:val="22"/>
          <w:szCs w:val="24"/>
        </w:rPr>
        <w:t>甲方的权利与义务</w:t>
      </w:r>
    </w:p>
    <w:p>
      <w:pPr>
        <w:pStyle w:val="3"/>
        <w:spacing w:line="360" w:lineRule="auto"/>
        <w:ind w:firstLine="440"/>
        <w:rPr>
          <w:rFonts w:ascii="宋体" w:hAnsi="宋体" w:cs="宋体"/>
          <w:sz w:val="22"/>
          <w:szCs w:val="24"/>
        </w:rPr>
      </w:pPr>
      <w:r>
        <w:rPr>
          <w:rFonts w:hint="eastAsia" w:ascii="宋体" w:hAnsi="宋体" w:cs="宋体"/>
          <w:sz w:val="22"/>
          <w:szCs w:val="24"/>
        </w:rPr>
        <w:t>1.</w:t>
      </w:r>
      <w:r>
        <w:rPr>
          <w:rFonts w:ascii="宋体" w:hAnsi="宋体" w:cs="宋体"/>
          <w:sz w:val="22"/>
          <w:szCs w:val="24"/>
        </w:rPr>
        <w:t>甲方应当履行恪尽职守、勤勉尽责、诚实守信、有效管理的义务。</w:t>
      </w:r>
    </w:p>
    <w:p>
      <w:pPr>
        <w:pStyle w:val="3"/>
        <w:spacing w:line="360" w:lineRule="auto"/>
        <w:ind w:firstLine="440"/>
        <w:rPr>
          <w:rFonts w:ascii="宋体" w:hAnsi="宋体" w:cs="宋体"/>
          <w:sz w:val="22"/>
          <w:szCs w:val="24"/>
        </w:rPr>
      </w:pPr>
      <w:r>
        <w:rPr>
          <w:rFonts w:hint="eastAsia" w:ascii="宋体" w:hAnsi="宋体" w:cs="宋体"/>
          <w:sz w:val="22"/>
          <w:szCs w:val="24"/>
        </w:rPr>
        <w:t>2.按照法律法规及</w:t>
      </w:r>
      <w:r>
        <w:rPr>
          <w:rFonts w:ascii="宋体" w:hAnsi="宋体" w:cs="宋体"/>
          <w:sz w:val="22"/>
          <w:szCs w:val="24"/>
        </w:rPr>
        <w:t>对应期次</w:t>
      </w:r>
      <w:r>
        <w:rPr>
          <w:rFonts w:hint="eastAsia" w:ascii="宋体" w:hAnsi="宋体" w:cs="宋体"/>
          <w:sz w:val="22"/>
          <w:szCs w:val="24"/>
        </w:rPr>
        <w:t>《理财产品说明书》</w:t>
      </w:r>
      <w:r>
        <w:rPr>
          <w:rFonts w:ascii="宋体" w:hAnsi="宋体" w:cs="宋体"/>
          <w:sz w:val="22"/>
          <w:szCs w:val="24"/>
        </w:rPr>
        <w:t>约定的投资范围和权限内，甲方拥有管理和运用理财资金的权利。</w:t>
      </w:r>
    </w:p>
    <w:p>
      <w:pPr>
        <w:pStyle w:val="3"/>
        <w:spacing w:line="360" w:lineRule="auto"/>
        <w:ind w:firstLine="440"/>
        <w:rPr>
          <w:rFonts w:ascii="宋体" w:hAnsi="宋体" w:cs="宋体"/>
          <w:sz w:val="22"/>
          <w:szCs w:val="24"/>
        </w:rPr>
      </w:pPr>
      <w:r>
        <w:rPr>
          <w:rFonts w:hint="eastAsia" w:ascii="宋体" w:hAnsi="宋体" w:cs="宋体"/>
          <w:sz w:val="22"/>
          <w:szCs w:val="24"/>
        </w:rPr>
        <w:t>3.</w:t>
      </w:r>
      <w:r>
        <w:rPr>
          <w:rFonts w:ascii="宋体" w:hAnsi="宋体" w:cs="宋体"/>
          <w:sz w:val="22"/>
          <w:szCs w:val="24"/>
        </w:rPr>
        <w:t>甲方应当按照对应期次</w:t>
      </w:r>
      <w:r>
        <w:rPr>
          <w:rFonts w:hint="eastAsia" w:ascii="宋体" w:hAnsi="宋体" w:cs="宋体"/>
          <w:sz w:val="22"/>
          <w:szCs w:val="24"/>
        </w:rPr>
        <w:t>《理财产品说明书》的</w:t>
      </w:r>
      <w:r>
        <w:rPr>
          <w:rFonts w:ascii="宋体" w:hAnsi="宋体" w:cs="宋体"/>
          <w:sz w:val="22"/>
          <w:szCs w:val="24"/>
        </w:rPr>
        <w:t>约定向</w:t>
      </w:r>
      <w:r>
        <w:rPr>
          <w:rFonts w:hint="eastAsia" w:ascii="宋体" w:hAnsi="宋体" w:cs="宋体"/>
          <w:sz w:val="22"/>
          <w:szCs w:val="24"/>
        </w:rPr>
        <w:t>乙方</w:t>
      </w:r>
      <w:r>
        <w:rPr>
          <w:rFonts w:ascii="宋体" w:hAnsi="宋体" w:cs="宋体"/>
          <w:sz w:val="22"/>
          <w:szCs w:val="24"/>
        </w:rPr>
        <w:t>分配收益</w:t>
      </w:r>
      <w:r>
        <w:rPr>
          <w:rFonts w:hint="eastAsia" w:ascii="宋体" w:hAnsi="宋体" w:cs="宋体"/>
          <w:sz w:val="22"/>
          <w:szCs w:val="24"/>
        </w:rPr>
        <w:t>。</w:t>
      </w:r>
    </w:p>
    <w:p>
      <w:pPr>
        <w:pStyle w:val="3"/>
        <w:spacing w:line="360" w:lineRule="auto"/>
        <w:ind w:firstLine="440"/>
        <w:rPr>
          <w:rFonts w:ascii="宋体" w:hAnsi="宋体" w:cs="宋体"/>
          <w:sz w:val="22"/>
          <w:szCs w:val="24"/>
        </w:rPr>
      </w:pPr>
      <w:r>
        <w:rPr>
          <w:rFonts w:hint="eastAsia" w:ascii="宋体" w:hAnsi="宋体" w:cs="宋体"/>
          <w:sz w:val="22"/>
          <w:szCs w:val="24"/>
        </w:rPr>
        <w:t>4.甲方</w:t>
      </w:r>
      <w:r>
        <w:rPr>
          <w:rFonts w:ascii="宋体" w:hAnsi="宋体" w:cs="宋体"/>
          <w:sz w:val="22"/>
          <w:szCs w:val="24"/>
        </w:rPr>
        <w:t>有权按照对应期次《理财产品说明书》的约定收取相应费用。</w:t>
      </w:r>
    </w:p>
    <w:p>
      <w:pPr>
        <w:pStyle w:val="3"/>
        <w:spacing w:line="360" w:lineRule="auto"/>
        <w:ind w:firstLine="440"/>
        <w:rPr>
          <w:rFonts w:ascii="宋体" w:hAnsi="宋体" w:cs="宋体"/>
          <w:sz w:val="22"/>
          <w:szCs w:val="24"/>
        </w:rPr>
      </w:pPr>
      <w:r>
        <w:rPr>
          <w:rFonts w:hint="eastAsia" w:ascii="宋体" w:hAnsi="宋体" w:cs="宋体"/>
          <w:sz w:val="22"/>
          <w:szCs w:val="24"/>
        </w:rPr>
        <w:t>5.</w:t>
      </w:r>
      <w:r>
        <w:rPr>
          <w:rFonts w:ascii="宋体" w:hAnsi="宋体" w:cs="宋体"/>
          <w:sz w:val="22"/>
          <w:szCs w:val="24"/>
        </w:rPr>
        <w:t>由于投资管理或者获取投资标的的需要，甲方有权决定以理财产品财产支付</w:t>
      </w:r>
      <w:r>
        <w:rPr>
          <w:rFonts w:hint="eastAsia" w:ascii="宋体" w:hAnsi="宋体" w:cs="宋体"/>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pPr>
        <w:pStyle w:val="3"/>
        <w:spacing w:line="360" w:lineRule="auto"/>
        <w:ind w:firstLine="440"/>
        <w:rPr>
          <w:rFonts w:ascii="宋体" w:hAnsi="宋体" w:cs="宋体"/>
          <w:b/>
          <w:bCs/>
          <w:sz w:val="22"/>
          <w:szCs w:val="24"/>
        </w:rPr>
      </w:pPr>
      <w:r>
        <w:rPr>
          <w:rFonts w:hint="eastAsia" w:ascii="宋体" w:hAnsi="宋体" w:cs="宋体"/>
          <w:sz w:val="22"/>
          <w:szCs w:val="24"/>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pStyle w:val="3"/>
        <w:spacing w:line="360" w:lineRule="auto"/>
        <w:ind w:firstLine="440" w:firstLineChars="0"/>
        <w:rPr>
          <w:rFonts w:ascii="宋体" w:hAnsi="宋体" w:cs="宋体"/>
          <w:sz w:val="22"/>
          <w:szCs w:val="24"/>
        </w:rPr>
      </w:pPr>
      <w:r>
        <w:rPr>
          <w:rFonts w:hint="eastAsia" w:ascii="宋体" w:hAnsi="宋体" w:cs="宋体"/>
          <w:sz w:val="22"/>
          <w:szCs w:val="24"/>
        </w:rPr>
        <w:t>7.</w:t>
      </w:r>
      <w:r>
        <w:rPr>
          <w:rFonts w:ascii="宋体" w:hAnsi="宋体" w:cs="宋体"/>
          <w:sz w:val="22"/>
          <w:szCs w:val="24"/>
        </w:rPr>
        <w:t>甲方有权根据产品运作的需要选任必要的业务合作机构</w:t>
      </w:r>
      <w:r>
        <w:rPr>
          <w:rFonts w:hint="eastAsia" w:ascii="宋体" w:hAnsi="宋体" w:cs="宋体"/>
          <w:sz w:val="22"/>
          <w:szCs w:val="24"/>
        </w:rPr>
        <w:t>，并确定合作模式等相关内容。</w:t>
      </w:r>
    </w:p>
    <w:p>
      <w:pPr>
        <w:pStyle w:val="3"/>
        <w:spacing w:line="360" w:lineRule="auto"/>
        <w:ind w:firstLine="440" w:firstLineChars="0"/>
        <w:rPr>
          <w:rFonts w:ascii="宋体" w:hAnsi="宋体" w:cs="宋体"/>
          <w:b/>
          <w:bCs/>
          <w:sz w:val="22"/>
          <w:szCs w:val="24"/>
        </w:rPr>
      </w:pPr>
      <w:r>
        <w:rPr>
          <w:rFonts w:hint="eastAsia" w:ascii="宋体" w:hAnsi="宋体" w:cs="宋体"/>
          <w:sz w:val="22"/>
          <w:szCs w:val="24"/>
        </w:rPr>
        <w:t>8.</w:t>
      </w:r>
      <w:r>
        <w:rPr>
          <w:rFonts w:hint="eastAsia" w:ascii="宋体" w:hAnsi="宋体" w:cs="宋体"/>
          <w:b/>
          <w:bCs/>
          <w:sz w:val="22"/>
          <w:szCs w:val="24"/>
        </w:rPr>
        <w:t>在本理财产品存续期内：</w:t>
      </w:r>
    </w:p>
    <w:p>
      <w:pPr>
        <w:pStyle w:val="3"/>
        <w:spacing w:line="360" w:lineRule="auto"/>
        <w:ind w:firstLine="440" w:firstLineChars="0"/>
        <w:rPr>
          <w:rFonts w:ascii="宋体" w:hAnsi="宋体" w:cs="宋体"/>
          <w:b/>
          <w:bCs/>
          <w:sz w:val="22"/>
          <w:szCs w:val="24"/>
        </w:rPr>
      </w:pPr>
      <w:r>
        <w:rPr>
          <w:rFonts w:hint="eastAsia" w:ascii="宋体" w:hAnsi="宋体" w:cs="宋体"/>
          <w:b/>
          <w:bCs/>
          <w:sz w:val="22"/>
          <w:szCs w:val="24"/>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pStyle w:val="3"/>
        <w:spacing w:line="360" w:lineRule="auto"/>
        <w:ind w:firstLine="440" w:firstLineChars="0"/>
        <w:rPr>
          <w:rFonts w:ascii="宋体" w:hAnsi="宋体" w:cs="宋体"/>
          <w:b/>
          <w:bCs/>
          <w:sz w:val="22"/>
          <w:szCs w:val="24"/>
        </w:rPr>
      </w:pPr>
      <w:r>
        <w:rPr>
          <w:rFonts w:hint="eastAsia" w:ascii="宋体" w:hAnsi="宋体" w:cs="宋体"/>
          <w:b/>
          <w:bCs/>
          <w:sz w:val="22"/>
          <w:szCs w:val="24"/>
        </w:rPr>
        <w:t>（2）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pStyle w:val="3"/>
        <w:spacing w:line="360" w:lineRule="auto"/>
        <w:ind w:firstLine="440" w:firstLineChars="0"/>
        <w:rPr>
          <w:rFonts w:ascii="宋体" w:hAnsi="宋体" w:cs="宋体"/>
          <w:b/>
          <w:bCs/>
          <w:sz w:val="22"/>
          <w:szCs w:val="24"/>
        </w:rPr>
      </w:pPr>
      <w:r>
        <w:rPr>
          <w:rFonts w:hint="eastAsia" w:ascii="宋体" w:hAnsi="宋体" w:cs="宋体"/>
          <w:b/>
          <w:bCs/>
          <w:sz w:val="22"/>
          <w:szCs w:val="24"/>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pPr>
        <w:pStyle w:val="3"/>
        <w:spacing w:line="360" w:lineRule="auto"/>
        <w:ind w:firstLine="440" w:firstLineChars="0"/>
        <w:rPr>
          <w:rFonts w:ascii="宋体" w:hAnsi="宋体" w:cs="宋体"/>
          <w:sz w:val="22"/>
          <w:szCs w:val="24"/>
        </w:rPr>
      </w:pPr>
      <w:r>
        <w:rPr>
          <w:rFonts w:hint="eastAsia" w:ascii="宋体" w:hAnsi="宋体" w:cs="宋体"/>
          <w:sz w:val="22"/>
          <w:szCs w:val="24"/>
        </w:rPr>
        <w:t>10.法律法规规定或理财产品销售文件约定的其它权利及义务。</w:t>
      </w:r>
    </w:p>
    <w:p>
      <w:pPr>
        <w:pStyle w:val="3"/>
        <w:spacing w:line="360" w:lineRule="auto"/>
        <w:ind w:firstLine="440"/>
        <w:rPr>
          <w:rFonts w:ascii="宋体" w:hAnsi="宋体" w:cs="宋体"/>
          <w:sz w:val="22"/>
          <w:szCs w:val="24"/>
        </w:rPr>
      </w:pPr>
      <w:r>
        <w:rPr>
          <w:rFonts w:hint="eastAsia" w:ascii="宋体" w:hAnsi="宋体" w:cs="宋体"/>
          <w:sz w:val="22"/>
          <w:szCs w:val="24"/>
        </w:rPr>
        <w:t>（二）乙方的权利与义务</w:t>
      </w:r>
    </w:p>
    <w:p>
      <w:pPr>
        <w:pStyle w:val="3"/>
        <w:spacing w:line="360" w:lineRule="auto"/>
        <w:ind w:firstLine="440" w:firstLineChars="0"/>
        <w:rPr>
          <w:rFonts w:ascii="宋体" w:hAnsi="宋体" w:cs="宋体"/>
          <w:sz w:val="22"/>
          <w:szCs w:val="24"/>
        </w:rPr>
      </w:pPr>
      <w:r>
        <w:rPr>
          <w:rFonts w:hint="eastAsia" w:ascii="宋体" w:hAnsi="宋体" w:cs="宋体"/>
          <w:sz w:val="22"/>
          <w:szCs w:val="24"/>
        </w:rPr>
        <w:t>1.</w:t>
      </w:r>
      <w:r>
        <w:rPr>
          <w:rFonts w:ascii="宋体" w:hAnsi="宋体" w:cs="宋体"/>
          <w:sz w:val="22"/>
          <w:szCs w:val="24"/>
        </w:rPr>
        <w:t>乙方保证具有完全民事行为能力，</w:t>
      </w:r>
      <w:r>
        <w:rPr>
          <w:rFonts w:hint="eastAsia" w:ascii="宋体" w:hAnsi="宋体" w:cs="宋体"/>
          <w:sz w:val="22"/>
          <w:szCs w:val="24"/>
        </w:rPr>
        <w:t>有完全适当的资格与能力订立并履行本协议。</w:t>
      </w:r>
    </w:p>
    <w:p>
      <w:pPr>
        <w:pStyle w:val="3"/>
        <w:spacing w:line="360" w:lineRule="auto"/>
        <w:ind w:firstLine="440" w:firstLineChars="0"/>
        <w:rPr>
          <w:rFonts w:ascii="宋体" w:hAnsi="宋体" w:cs="宋体"/>
          <w:sz w:val="22"/>
          <w:szCs w:val="24"/>
        </w:rPr>
      </w:pPr>
      <w:r>
        <w:rPr>
          <w:rFonts w:hint="eastAsia" w:ascii="宋体" w:hAnsi="宋体" w:cs="宋体"/>
          <w:sz w:val="22"/>
          <w:szCs w:val="24"/>
        </w:rPr>
        <w:t>2.</w:t>
      </w:r>
      <w:r>
        <w:rPr>
          <w:rFonts w:ascii="宋体" w:hAnsi="宋体" w:cs="宋体"/>
          <w:sz w:val="22"/>
          <w:szCs w:val="24"/>
        </w:rPr>
        <w:t>乙方能够自行识别、判断和承担理财产品的相关风险；不存在法律法规、有权机关或主管机关禁止或限制</w:t>
      </w:r>
      <w:r>
        <w:rPr>
          <w:rFonts w:hint="eastAsia" w:ascii="宋体" w:hAnsi="宋体" w:cs="宋体"/>
          <w:sz w:val="22"/>
          <w:szCs w:val="24"/>
        </w:rPr>
        <w:t>购买</w:t>
      </w:r>
      <w:r>
        <w:rPr>
          <w:rFonts w:ascii="宋体" w:hAnsi="宋体" w:cs="宋体"/>
          <w:sz w:val="22"/>
          <w:szCs w:val="24"/>
        </w:rPr>
        <w:t>理财产品的各种情形。乙方按其</w:t>
      </w:r>
      <w:r>
        <w:rPr>
          <w:rFonts w:hint="eastAsia" w:ascii="宋体" w:hAnsi="宋体" w:cs="宋体"/>
          <w:sz w:val="22"/>
          <w:szCs w:val="24"/>
        </w:rPr>
        <w:t>购买</w:t>
      </w:r>
      <w:r>
        <w:rPr>
          <w:rFonts w:ascii="宋体" w:hAnsi="宋体" w:cs="宋体"/>
          <w:sz w:val="22"/>
          <w:szCs w:val="24"/>
        </w:rPr>
        <w:t>金额在</w:t>
      </w:r>
      <w:r>
        <w:rPr>
          <w:rFonts w:hint="eastAsia" w:ascii="宋体" w:hAnsi="宋体" w:cs="宋体"/>
          <w:sz w:val="22"/>
          <w:szCs w:val="24"/>
        </w:rPr>
        <w:t>对应期次</w:t>
      </w:r>
      <w:r>
        <w:rPr>
          <w:rFonts w:ascii="宋体" w:hAnsi="宋体" w:cs="宋体"/>
          <w:sz w:val="22"/>
          <w:szCs w:val="24"/>
        </w:rPr>
        <w:t>理财协议中享有相应的权利，承担相应的义务和风险。</w:t>
      </w:r>
    </w:p>
    <w:p>
      <w:pPr>
        <w:pStyle w:val="3"/>
        <w:spacing w:line="360" w:lineRule="auto"/>
        <w:ind w:firstLine="440"/>
        <w:rPr>
          <w:rFonts w:ascii="宋体" w:hAnsi="宋体" w:cs="宋体"/>
          <w:sz w:val="22"/>
          <w:szCs w:val="24"/>
        </w:rPr>
      </w:pPr>
      <w:r>
        <w:rPr>
          <w:rFonts w:ascii="宋体" w:hAnsi="宋体" w:cs="宋体"/>
          <w:sz w:val="22"/>
          <w:szCs w:val="24"/>
        </w:rPr>
        <w:t>3</w:t>
      </w:r>
      <w:r>
        <w:rPr>
          <w:rFonts w:hint="eastAsia" w:ascii="宋体" w:hAnsi="宋体" w:cs="宋体"/>
          <w:sz w:val="22"/>
          <w:szCs w:val="24"/>
        </w:rPr>
        <w:t>.</w:t>
      </w:r>
      <w:r>
        <w:rPr>
          <w:rFonts w:ascii="宋体" w:hAnsi="宋体" w:cs="宋体"/>
          <w:sz w:val="22"/>
          <w:szCs w:val="24"/>
        </w:rPr>
        <w:t>乙方自愿</w:t>
      </w:r>
      <w:r>
        <w:rPr>
          <w:rFonts w:hint="eastAsia" w:ascii="宋体" w:hAnsi="宋体" w:cs="宋体"/>
          <w:sz w:val="22"/>
          <w:szCs w:val="24"/>
        </w:rPr>
        <w:t>购买</w:t>
      </w:r>
      <w:r>
        <w:rPr>
          <w:rFonts w:ascii="宋体" w:hAnsi="宋体" w:cs="宋体"/>
          <w:sz w:val="22"/>
          <w:szCs w:val="24"/>
        </w:rPr>
        <w:t>甲方管理的理财产品，接受甲方提供的投资理财服务。</w:t>
      </w:r>
      <w:r>
        <w:rPr>
          <w:rFonts w:hint="eastAsia" w:ascii="宋体" w:hAnsi="宋体" w:cs="宋体"/>
          <w:sz w:val="22"/>
          <w:szCs w:val="24"/>
        </w:rPr>
        <w:t>甲方向乙方提供的市场分析和预测（如有）仅供参考，乙方据此做出的任何决策均出于乙方自身的判断，甲方不承担任何责任。</w:t>
      </w:r>
    </w:p>
    <w:p>
      <w:pPr>
        <w:pStyle w:val="3"/>
        <w:spacing w:line="360" w:lineRule="auto"/>
        <w:ind w:firstLine="440"/>
        <w:rPr>
          <w:rFonts w:ascii="宋体" w:hAnsi="宋体" w:cs="宋体"/>
          <w:sz w:val="22"/>
          <w:szCs w:val="24"/>
        </w:rPr>
      </w:pPr>
      <w:r>
        <w:rPr>
          <w:rFonts w:hint="eastAsia" w:ascii="宋体" w:hAnsi="宋体" w:cs="宋体"/>
          <w:sz w:val="22"/>
          <w:szCs w:val="24"/>
        </w:rPr>
        <w:t>4.</w:t>
      </w:r>
      <w:r>
        <w:rPr>
          <w:rFonts w:ascii="宋体" w:hAnsi="宋体" w:cs="宋体"/>
          <w:sz w:val="22"/>
          <w:szCs w:val="24"/>
        </w:rPr>
        <w:t>乙方已仔细阅读</w:t>
      </w:r>
      <w:r>
        <w:rPr>
          <w:rFonts w:hint="eastAsia" w:ascii="宋体" w:hAnsi="宋体" w:cs="宋体"/>
          <w:sz w:val="22"/>
          <w:szCs w:val="24"/>
        </w:rPr>
        <w:t>《投资者权益须知》</w:t>
      </w:r>
      <w:r>
        <w:rPr>
          <w:rFonts w:ascii="宋体" w:hAnsi="宋体" w:cs="宋体"/>
          <w:sz w:val="22"/>
          <w:szCs w:val="24"/>
        </w:rPr>
        <w:t>《理财产品说明书》</w:t>
      </w:r>
      <w:r>
        <w:rPr>
          <w:rFonts w:hint="eastAsia" w:ascii="宋体" w:hAnsi="宋体" w:cs="宋体"/>
          <w:sz w:val="22"/>
          <w:szCs w:val="24"/>
        </w:rPr>
        <w:t>并清楚知晓其内容，接受并签署《理财产品风险揭示书》《</w:t>
      </w:r>
      <w:r>
        <w:rPr>
          <w:rFonts w:ascii="宋体" w:hAnsi="宋体" w:cs="宋体"/>
          <w:sz w:val="22"/>
          <w:szCs w:val="24"/>
        </w:rPr>
        <w:t>理财产品销售协议书》</w:t>
      </w:r>
      <w:r>
        <w:rPr>
          <w:rFonts w:hint="eastAsia" w:ascii="宋体" w:hAnsi="宋体" w:cs="宋体"/>
          <w:sz w:val="22"/>
          <w:szCs w:val="24"/>
        </w:rPr>
        <w:t>和本协议。</w:t>
      </w:r>
    </w:p>
    <w:p>
      <w:pPr>
        <w:pStyle w:val="3"/>
        <w:spacing w:line="360" w:lineRule="auto"/>
        <w:ind w:firstLine="440" w:firstLineChars="0"/>
        <w:rPr>
          <w:rFonts w:ascii="宋体" w:hAnsi="宋体" w:cs="宋体"/>
          <w:sz w:val="22"/>
          <w:szCs w:val="24"/>
        </w:rPr>
      </w:pPr>
      <w:r>
        <w:rPr>
          <w:rFonts w:hint="eastAsia" w:ascii="宋体" w:hAnsi="宋体" w:cs="宋体"/>
          <w:sz w:val="22"/>
          <w:szCs w:val="24"/>
        </w:rPr>
        <w:t>5.乙方</w:t>
      </w:r>
      <w:r>
        <w:rPr>
          <w:rFonts w:ascii="宋体" w:hAnsi="宋体" w:cs="宋体"/>
          <w:sz w:val="22"/>
          <w:szCs w:val="24"/>
        </w:rPr>
        <w:t>已充分知悉</w:t>
      </w:r>
      <w:r>
        <w:rPr>
          <w:rFonts w:hint="eastAsia" w:ascii="宋体" w:hAnsi="宋体" w:cs="宋体"/>
          <w:sz w:val="22"/>
          <w:szCs w:val="24"/>
        </w:rPr>
        <w:t>对应期次</w:t>
      </w:r>
      <w:r>
        <w:rPr>
          <w:rFonts w:ascii="宋体" w:hAnsi="宋体" w:cs="宋体"/>
          <w:sz w:val="22"/>
          <w:szCs w:val="24"/>
        </w:rPr>
        <w:t>理财产品风险等级</w:t>
      </w:r>
      <w:r>
        <w:rPr>
          <w:rFonts w:hint="eastAsia" w:ascii="宋体" w:hAnsi="宋体" w:cs="宋体"/>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hint="eastAsia" w:ascii="宋体" w:hAnsi="宋体" w:cs="宋体"/>
          <w:sz w:val="22"/>
          <w:szCs w:val="24"/>
        </w:rPr>
        <w:t>购买对应期次</w:t>
      </w:r>
      <w:r>
        <w:rPr>
          <w:rFonts w:ascii="宋体" w:hAnsi="宋体" w:cs="宋体"/>
          <w:sz w:val="22"/>
          <w:szCs w:val="24"/>
        </w:rPr>
        <w:t>理财产品，乙方承诺由此产生的相关风险由其自身承担。</w:t>
      </w:r>
    </w:p>
    <w:p>
      <w:pPr>
        <w:pStyle w:val="3"/>
        <w:spacing w:line="360" w:lineRule="auto"/>
        <w:ind w:firstLine="442" w:firstLineChars="0"/>
        <w:rPr>
          <w:rFonts w:ascii="宋体" w:hAnsi="宋体" w:cs="宋体"/>
          <w:b/>
          <w:bCs/>
          <w:sz w:val="22"/>
          <w:szCs w:val="24"/>
        </w:rPr>
      </w:pPr>
      <w:r>
        <w:rPr>
          <w:rFonts w:hint="eastAsia" w:ascii="宋体" w:hAnsi="宋体" w:cs="宋体"/>
          <w:b/>
          <w:bCs/>
          <w:sz w:val="22"/>
          <w:szCs w:val="24"/>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pPr>
        <w:pStyle w:val="3"/>
        <w:spacing w:line="360" w:lineRule="auto"/>
        <w:ind w:firstLine="442" w:firstLineChars="0"/>
        <w:rPr>
          <w:rFonts w:ascii="宋体" w:hAnsi="宋体" w:cs="宋体"/>
          <w:b/>
          <w:bCs/>
          <w:sz w:val="22"/>
          <w:szCs w:val="24"/>
        </w:rPr>
      </w:pPr>
      <w:r>
        <w:rPr>
          <w:rFonts w:hint="eastAsia" w:ascii="宋体" w:hAnsi="宋体" w:cs="宋体"/>
          <w:b/>
          <w:bCs/>
          <w:sz w:val="22"/>
          <w:szCs w:val="24"/>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pPr>
        <w:pStyle w:val="3"/>
        <w:spacing w:line="360" w:lineRule="auto"/>
        <w:ind w:firstLine="440" w:firstLineChars="0"/>
        <w:rPr>
          <w:rFonts w:ascii="宋体" w:hAnsi="宋体" w:cs="宋体"/>
          <w:b/>
          <w:bCs/>
          <w:sz w:val="22"/>
          <w:szCs w:val="24"/>
        </w:rPr>
      </w:pPr>
      <w:r>
        <w:rPr>
          <w:rFonts w:ascii="宋体" w:hAnsi="宋体" w:cs="宋体"/>
          <w:b/>
          <w:bCs/>
          <w:sz w:val="22"/>
          <w:szCs w:val="24"/>
        </w:rPr>
        <w:t>8</w:t>
      </w:r>
      <w:r>
        <w:rPr>
          <w:rFonts w:hint="eastAsia" w:ascii="宋体" w:hAnsi="宋体" w:cs="宋体"/>
          <w:sz w:val="22"/>
          <w:szCs w:val="24"/>
        </w:rPr>
        <w:t>.</w:t>
      </w:r>
      <w:r>
        <w:rPr>
          <w:rFonts w:hint="eastAsia" w:ascii="宋体" w:hAnsi="宋体" w:cs="宋体"/>
          <w:b/>
          <w:bCs/>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pPr>
        <w:pStyle w:val="3"/>
        <w:spacing w:line="360" w:lineRule="auto"/>
        <w:ind w:firstLine="442" w:firstLineChars="0"/>
        <w:rPr>
          <w:rFonts w:ascii="宋体" w:hAnsi="宋体" w:cs="宋体"/>
          <w:b/>
          <w:bCs/>
          <w:sz w:val="22"/>
          <w:szCs w:val="24"/>
        </w:rPr>
      </w:pPr>
      <w:r>
        <w:rPr>
          <w:rFonts w:hint="eastAsia" w:ascii="宋体" w:hAnsi="宋体" w:cs="宋体"/>
          <w:b/>
          <w:bCs/>
          <w:sz w:val="22"/>
          <w:szCs w:val="24"/>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pStyle w:val="3"/>
        <w:spacing w:line="360" w:lineRule="auto"/>
        <w:ind w:firstLine="442" w:firstLineChars="0"/>
        <w:rPr>
          <w:rFonts w:ascii="宋体" w:hAnsi="宋体" w:cs="宋体"/>
          <w:b/>
          <w:bCs/>
          <w:sz w:val="22"/>
          <w:szCs w:val="24"/>
        </w:rPr>
      </w:pPr>
      <w:r>
        <w:rPr>
          <w:rFonts w:hint="eastAsia" w:ascii="宋体" w:hAnsi="宋体" w:cs="宋体"/>
          <w:b/>
          <w:bCs/>
          <w:sz w:val="22"/>
          <w:szCs w:val="24"/>
        </w:rPr>
        <w:t>10.乙方对因购买、持有本理财产品而知悉的甲方及销售机构保密信息承担保密义务，乙方承诺不以任何方式向任何第三方披露甲方或销售机构的保密信息，法律法规另有规定的除外。</w:t>
      </w:r>
    </w:p>
    <w:p>
      <w:pPr>
        <w:pStyle w:val="3"/>
        <w:spacing w:line="360" w:lineRule="auto"/>
        <w:ind w:firstLine="440" w:firstLineChars="0"/>
        <w:rPr>
          <w:rFonts w:ascii="宋体" w:hAnsi="宋体" w:cs="宋体"/>
          <w:sz w:val="22"/>
          <w:szCs w:val="24"/>
        </w:rPr>
      </w:pPr>
      <w:r>
        <w:rPr>
          <w:rFonts w:hint="eastAsia" w:ascii="宋体" w:hAnsi="宋体" w:cs="宋体"/>
          <w:sz w:val="22"/>
          <w:szCs w:val="24"/>
        </w:rPr>
        <w:t>11.法律法规规定或理财产品销售文件约定的其它权利及义务。</w:t>
      </w:r>
    </w:p>
    <w:p>
      <w:pPr>
        <w:pStyle w:val="3"/>
        <w:spacing w:line="360" w:lineRule="auto"/>
        <w:ind w:firstLine="442"/>
        <w:rPr>
          <w:rFonts w:ascii="宋体" w:hAnsi="宋体" w:cs="宋体"/>
          <w:b/>
          <w:sz w:val="22"/>
          <w:szCs w:val="24"/>
        </w:rPr>
      </w:pPr>
      <w:r>
        <w:rPr>
          <w:rFonts w:hint="eastAsia" w:ascii="宋体" w:hAnsi="宋体" w:cs="宋体"/>
          <w:b/>
          <w:sz w:val="22"/>
          <w:szCs w:val="24"/>
        </w:rPr>
        <w:t>三、协议的生效和终止</w:t>
      </w:r>
    </w:p>
    <w:p>
      <w:pPr>
        <w:pStyle w:val="3"/>
        <w:spacing w:line="360" w:lineRule="auto"/>
        <w:ind w:firstLine="440"/>
        <w:rPr>
          <w:rFonts w:ascii="宋体" w:hAnsi="宋体" w:cs="宋体"/>
          <w:sz w:val="22"/>
          <w:szCs w:val="24"/>
        </w:rPr>
      </w:pPr>
      <w:r>
        <w:rPr>
          <w:rFonts w:hint="eastAsia" w:ascii="宋体" w:hAnsi="宋体" w:cs="宋体"/>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pPr>
        <w:pStyle w:val="3"/>
        <w:spacing w:line="360" w:lineRule="auto"/>
        <w:ind w:firstLine="440"/>
        <w:rPr>
          <w:rFonts w:ascii="宋体" w:hAnsi="宋体" w:cs="宋体"/>
          <w:sz w:val="22"/>
          <w:szCs w:val="24"/>
        </w:rPr>
      </w:pPr>
      <w:r>
        <w:rPr>
          <w:rFonts w:hint="eastAsia" w:ascii="宋体" w:hAnsi="宋体" w:cs="宋体"/>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pPr>
        <w:pStyle w:val="3"/>
        <w:spacing w:line="360" w:lineRule="auto"/>
        <w:ind w:firstLine="440"/>
        <w:rPr>
          <w:rFonts w:ascii="宋体" w:hAnsi="宋体" w:cs="宋体"/>
          <w:sz w:val="22"/>
          <w:szCs w:val="24"/>
        </w:rPr>
      </w:pPr>
      <w:r>
        <w:rPr>
          <w:rFonts w:hint="eastAsia" w:ascii="宋体" w:hAnsi="宋体" w:cs="宋体"/>
          <w:sz w:val="22"/>
          <w:szCs w:val="24"/>
        </w:rPr>
        <w:t>（三）乙方购买理财产品失败、甲方提前终止对应期次理财产品以及对应期次理财产品到期并结清后，本协议自动终止。</w:t>
      </w:r>
    </w:p>
    <w:p>
      <w:pPr>
        <w:pStyle w:val="3"/>
        <w:spacing w:line="360" w:lineRule="auto"/>
        <w:ind w:firstLine="442"/>
        <w:rPr>
          <w:rFonts w:ascii="宋体" w:hAnsi="宋体" w:cs="宋体"/>
          <w:b/>
          <w:bCs/>
          <w:sz w:val="22"/>
          <w:szCs w:val="24"/>
        </w:rPr>
      </w:pPr>
      <w:r>
        <w:rPr>
          <w:rFonts w:hint="eastAsia" w:ascii="宋体" w:hAnsi="宋体" w:cs="宋体"/>
          <w:b/>
          <w:bCs/>
          <w:sz w:val="22"/>
          <w:szCs w:val="24"/>
        </w:rPr>
        <w:t>四、不可抗力及其他免责条款</w:t>
      </w:r>
    </w:p>
    <w:p>
      <w:pPr>
        <w:pStyle w:val="3"/>
        <w:spacing w:line="360" w:lineRule="auto"/>
        <w:ind w:firstLine="440"/>
        <w:rPr>
          <w:rFonts w:ascii="宋体" w:hAnsi="宋体" w:cs="宋体"/>
          <w:sz w:val="22"/>
          <w:szCs w:val="24"/>
        </w:rPr>
      </w:pPr>
      <w:r>
        <w:rPr>
          <w:rFonts w:hint="eastAsia" w:ascii="宋体" w:hAnsi="宋体" w:cs="宋体"/>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pPr>
        <w:pStyle w:val="3"/>
        <w:spacing w:line="360" w:lineRule="auto"/>
        <w:ind w:firstLine="440"/>
        <w:rPr>
          <w:rFonts w:ascii="宋体" w:hAnsi="宋体" w:cs="宋体"/>
          <w:sz w:val="22"/>
          <w:szCs w:val="24"/>
        </w:rPr>
      </w:pPr>
      <w:r>
        <w:rPr>
          <w:rFonts w:ascii="宋体" w:hAnsi="宋体" w:cs="宋体"/>
          <w:sz w:val="22"/>
          <w:szCs w:val="24"/>
        </w:rPr>
        <w:t>非因</w:t>
      </w:r>
      <w:r>
        <w:rPr>
          <w:rFonts w:hint="eastAsia" w:ascii="宋体" w:hAnsi="宋体" w:cs="宋体"/>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hint="eastAsia" w:ascii="宋体" w:hAnsi="宋体" w:cs="宋体"/>
          <w:sz w:val="22"/>
          <w:szCs w:val="24"/>
        </w:rPr>
        <w:t>甲方</w:t>
      </w:r>
      <w:r>
        <w:rPr>
          <w:rFonts w:ascii="宋体" w:hAnsi="宋体" w:cs="宋体"/>
          <w:sz w:val="22"/>
          <w:szCs w:val="24"/>
        </w:rPr>
        <w:t>不承担责任。</w:t>
      </w:r>
    </w:p>
    <w:p>
      <w:pPr>
        <w:pStyle w:val="3"/>
        <w:spacing w:line="360" w:lineRule="auto"/>
        <w:ind w:firstLine="442"/>
        <w:rPr>
          <w:rFonts w:ascii="宋体" w:hAnsi="宋体" w:cs="宋体"/>
          <w:b/>
          <w:bCs/>
          <w:sz w:val="22"/>
          <w:szCs w:val="24"/>
        </w:rPr>
      </w:pPr>
      <w:r>
        <w:rPr>
          <w:rFonts w:hint="eastAsia" w:ascii="宋体" w:hAnsi="宋体" w:cs="宋体"/>
          <w:b/>
          <w:bCs/>
          <w:sz w:val="22"/>
          <w:szCs w:val="24"/>
        </w:rPr>
        <w:t>五、争议解决</w:t>
      </w:r>
    </w:p>
    <w:p>
      <w:pPr>
        <w:pStyle w:val="3"/>
        <w:spacing w:line="360" w:lineRule="auto"/>
        <w:ind w:firstLine="440"/>
        <w:rPr>
          <w:rFonts w:ascii="宋体" w:hAnsi="宋体" w:cs="宋体"/>
          <w:sz w:val="22"/>
          <w:szCs w:val="24"/>
        </w:rPr>
      </w:pPr>
      <w:r>
        <w:rPr>
          <w:rFonts w:hint="eastAsia" w:ascii="宋体" w:hAnsi="宋体" w:cs="宋体"/>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pPr>
        <w:pStyle w:val="3"/>
        <w:spacing w:line="360" w:lineRule="auto"/>
        <w:ind w:firstLine="442"/>
        <w:rPr>
          <w:rFonts w:ascii="宋体" w:hAnsi="宋体" w:cs="宋体"/>
          <w:sz w:val="22"/>
          <w:szCs w:val="24"/>
        </w:rPr>
      </w:pPr>
      <w:r>
        <w:rPr>
          <w:rFonts w:hint="eastAsia" w:ascii="宋体" w:hAnsi="宋体" w:cs="宋体"/>
          <w:b/>
          <w:bCs/>
          <w:sz w:val="22"/>
          <w:szCs w:val="24"/>
        </w:rPr>
        <w:t>六、</w:t>
      </w:r>
      <w:r>
        <w:rPr>
          <w:rFonts w:hint="eastAsia" w:ascii="宋体" w:hAnsi="宋体" w:cs="宋体"/>
          <w:sz w:val="22"/>
          <w:szCs w:val="24"/>
        </w:rPr>
        <w:t>本协议未尽事宜，以《理财产品说明书》《理财产品风险揭示书》《理财产品销售协议书》及《投资者权益须知》等销售文件的内容为准。</w:t>
      </w:r>
    </w:p>
    <w:p>
      <w:pPr>
        <w:pStyle w:val="3"/>
        <w:spacing w:line="360" w:lineRule="auto"/>
        <w:ind w:firstLine="440"/>
        <w:rPr>
          <w:rFonts w:ascii="宋体" w:hAnsi="宋体" w:cs="宋体"/>
          <w:sz w:val="22"/>
          <w:szCs w:val="24"/>
        </w:rPr>
      </w:pPr>
    </w:p>
    <w:p>
      <w:pPr>
        <w:pStyle w:val="3"/>
        <w:spacing w:line="360" w:lineRule="auto"/>
        <w:ind w:firstLine="442"/>
        <w:rPr>
          <w:rFonts w:ascii="宋体" w:hAnsi="宋体" w:cs="宋体"/>
          <w:b/>
          <w:bCs/>
          <w:sz w:val="22"/>
          <w:szCs w:val="24"/>
        </w:rPr>
      </w:pPr>
      <w:r>
        <w:rPr>
          <w:rFonts w:hint="eastAsia" w:ascii="宋体" w:hAnsi="宋体" w:cs="宋体"/>
          <w:b/>
          <w:bCs/>
          <w:sz w:val="22"/>
          <w:szCs w:val="24"/>
        </w:rPr>
        <w:t>请投资者在购买本理财产品前认真阅读以上条款，尤其是加粗的条款。如果投资者不同意本协议的任何内容，或者无法准确理解相关条款的解释，请不要进行后续操作。</w:t>
      </w:r>
    </w:p>
    <w:p>
      <w:pPr>
        <w:pStyle w:val="3"/>
        <w:spacing w:line="360" w:lineRule="auto"/>
        <w:ind w:firstLine="440"/>
        <w:rPr>
          <w:rFonts w:ascii="宋体" w:hAnsi="宋体" w:cs="宋体"/>
          <w:sz w:val="22"/>
          <w:szCs w:val="24"/>
        </w:rPr>
      </w:pPr>
      <w:r>
        <w:rPr>
          <w:rFonts w:hint="eastAsia" w:ascii="宋体" w:hAnsi="宋体" w:cs="宋体"/>
          <w:sz w:val="22"/>
          <w:szCs w:val="24"/>
        </w:rPr>
        <w:t>（以下无正文）</w:t>
      </w:r>
    </w:p>
    <w:p>
      <w:pPr>
        <w:pStyle w:val="3"/>
        <w:spacing w:line="360" w:lineRule="auto"/>
        <w:ind w:firstLine="440"/>
        <w:rPr>
          <w:rFonts w:ascii="宋体" w:hAnsi="宋体" w:cs="宋体"/>
          <w:sz w:val="22"/>
          <w:szCs w:val="24"/>
        </w:rPr>
      </w:pPr>
    </w:p>
    <w:p>
      <w:pPr>
        <w:spacing w:line="360" w:lineRule="auto"/>
        <w:rPr>
          <w:rFonts w:ascii="宋体" w:hAnsi="宋体"/>
          <w:sz w:val="22"/>
          <w:szCs w:val="24"/>
        </w:rPr>
      </w:pPr>
      <w:r>
        <w:rPr>
          <w:rStyle w:val="35"/>
          <w:sz w:val="22"/>
          <w:szCs w:val="24"/>
        </w:rPr>
        <w:t>个人投资者（如适用）：                   机构投资者（如适用）：</w:t>
      </w:r>
      <w:r>
        <w:rPr>
          <w:rFonts w:hint="eastAsia"/>
          <w:color w:val="000000"/>
          <w:sz w:val="22"/>
          <w:szCs w:val="24"/>
        </w:rPr>
        <w:br w:type="textWrapping"/>
      </w:r>
      <w:r>
        <w:rPr>
          <w:rStyle w:val="35"/>
          <w:sz w:val="22"/>
          <w:szCs w:val="24"/>
        </w:rPr>
        <w:t>个人投资者： （签名或盖章）              机构投资者： （</w:t>
      </w:r>
      <w:r>
        <w:rPr>
          <w:rFonts w:hint="eastAsia" w:ascii="宋体" w:hAnsi="宋体" w:cs="宋体"/>
          <w:sz w:val="22"/>
          <w:szCs w:val="24"/>
        </w:rPr>
        <w:t>公章或合同专用章</w:t>
      </w:r>
      <w:r>
        <w:rPr>
          <w:rStyle w:val="35"/>
          <w:sz w:val="22"/>
          <w:szCs w:val="24"/>
        </w:rPr>
        <w:t>）</w:t>
      </w:r>
      <w:r>
        <w:rPr>
          <w:rFonts w:hint="eastAsia"/>
          <w:color w:val="000000"/>
          <w:sz w:val="22"/>
          <w:szCs w:val="24"/>
        </w:rPr>
        <w:br w:type="textWrapping"/>
      </w:r>
      <w:r>
        <w:rPr>
          <w:rStyle w:val="35"/>
          <w:sz w:val="22"/>
          <w:szCs w:val="24"/>
        </w:rPr>
        <w:t xml:space="preserve">   年  月  日                           法定代表人或授权代理人：（签名或盖章）</w:t>
      </w:r>
      <w:r>
        <w:rPr>
          <w:rFonts w:hint="eastAsia"/>
          <w:color w:val="000000"/>
          <w:sz w:val="22"/>
          <w:szCs w:val="24"/>
        </w:rPr>
        <w:br w:type="textWrapping"/>
      </w:r>
      <w:r>
        <w:rPr>
          <w:rStyle w:val="35"/>
          <w:sz w:val="22"/>
          <w:szCs w:val="24"/>
        </w:rPr>
        <w:t xml:space="preserve">                                            年    月   日</w:t>
      </w:r>
    </w:p>
    <w:p>
      <w:pPr>
        <w:spacing w:line="240" w:lineRule="exact"/>
        <w:rPr>
          <w:rFonts w:ascii="Times New Roman" w:hAnsi="Times New Roman"/>
          <w:sz w:val="22"/>
        </w:rPr>
      </w:pPr>
    </w:p>
    <w:p>
      <w:pPr>
        <w:widowControl/>
        <w:jc w:val="left"/>
        <w:rPr>
          <w:rFonts w:ascii="Times New Roman" w:hAnsi="Times New Roman"/>
        </w:rPr>
      </w:pPr>
    </w:p>
    <w:p/>
    <w:p>
      <w:pPr>
        <w:pStyle w:val="2"/>
      </w:pPr>
    </w:p>
    <w:sectPr>
      <w:headerReference r:id="rId3" w:type="default"/>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MicrosoftYaHei_PDF_Subset">
    <w:altName w:val="Segoe Print"/>
    <w:panose1 w:val="00000000000000000000"/>
    <w:charset w:val="00"/>
    <w:family w:val="auto"/>
    <w:pitch w:val="default"/>
    <w:sig w:usb0="00000000" w:usb1="00000000" w:usb2="00000000" w:usb3="00000000" w:csb0="00000000" w:csb1="00000000"/>
  </w:font>
  <w:font w:name="方正细黑一简体">
    <w:altName w:val="黑体"/>
    <w:panose1 w:val="00000000000000000000"/>
    <w:charset w:val="00"/>
    <w:family w:val="auto"/>
    <w:pitch w:val="default"/>
    <w:sig w:usb0="00000000" w:usb1="00000000" w:usb2="00000000" w:usb3="00000000" w:csb0="00000000" w:csb1="0000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pPr>
    <w:r>
      <w:t xml:space="preserve">   </w:t>
    </w:r>
    <w:r>
      <w:rPr>
        <w:rFonts w:hint="eastAsia" w:ascii="宋体"/>
      </w:rPr>
      <w:t>南银理财理财产品销售文件（</w:t>
    </w:r>
    <w:r>
      <w:t>2021</w:t>
    </w:r>
    <w:r>
      <w:rPr>
        <w:rFonts w:hint="eastAsia" w:ascii="宋体"/>
      </w:rPr>
      <w:t>第</w:t>
    </w:r>
    <w:r>
      <w:t>2</w:t>
    </w:r>
    <w:r>
      <w:rPr>
        <w:rFonts w:hint="eastAsia" w:ascii="宋体"/>
      </w:rPr>
      <w:t>版）</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tabs>
          <w:tab w:val="left" w:pos="0"/>
        </w:tabs>
        <w:ind w:left="660" w:hanging="360"/>
      </w:pPr>
      <w:rPr>
        <w:rFonts w:hint="default" w:ascii="方正黑体_GBK" w:hAnsi="方正黑体_GBK" w:eastAsia="方正黑体_GBK"/>
      </w:rPr>
    </w:lvl>
    <w:lvl w:ilvl="1" w:tentative="0">
      <w:start w:val="1"/>
      <w:numFmt w:val="lowerLetter"/>
      <w:lvlText w:val="%2)"/>
      <w:lvlJc w:val="left"/>
      <w:pPr>
        <w:tabs>
          <w:tab w:val="left" w:pos="0"/>
        </w:tabs>
        <w:ind w:left="1140" w:hanging="420"/>
      </w:pPr>
      <w:rPr>
        <w:rFonts w:hint="default" w:ascii="方正黑体_GBK" w:hAnsi="方正黑体_GBK" w:eastAsia="方正黑体_GBK"/>
      </w:rPr>
    </w:lvl>
    <w:lvl w:ilvl="2" w:tentative="0">
      <w:start w:val="1"/>
      <w:numFmt w:val="decimal"/>
      <w:lvlText w:val="%3."/>
      <w:lvlJc w:val="right"/>
      <w:pPr>
        <w:tabs>
          <w:tab w:val="left" w:pos="0"/>
        </w:tabs>
        <w:ind w:left="1560" w:hanging="420"/>
      </w:pPr>
      <w:rPr>
        <w:rFonts w:hint="default" w:ascii="方正黑体_GBK" w:hAnsi="方正黑体_GBK" w:eastAsia="方正黑体_GBK"/>
      </w:rPr>
    </w:lvl>
    <w:lvl w:ilvl="3" w:tentative="0">
      <w:start w:val="1"/>
      <w:numFmt w:val="decimal"/>
      <w:lvlText w:val="%4."/>
      <w:lvlJc w:val="left"/>
      <w:pPr>
        <w:tabs>
          <w:tab w:val="left" w:pos="0"/>
        </w:tabs>
        <w:ind w:left="1980" w:hanging="420"/>
      </w:pPr>
      <w:rPr>
        <w:rFonts w:hint="default" w:ascii="方正黑体_GBK" w:hAnsi="方正黑体_GBK" w:eastAsia="方正黑体_GBK"/>
      </w:rPr>
    </w:lvl>
    <w:lvl w:ilvl="4" w:tentative="0">
      <w:start w:val="1"/>
      <w:numFmt w:val="lowerLetter"/>
      <w:lvlText w:val="%5)"/>
      <w:lvlJc w:val="left"/>
      <w:pPr>
        <w:tabs>
          <w:tab w:val="left" w:pos="0"/>
        </w:tabs>
        <w:ind w:left="2400" w:hanging="420"/>
      </w:pPr>
      <w:rPr>
        <w:rFonts w:hint="default" w:ascii="方正黑体_GBK" w:hAnsi="方正黑体_GBK" w:eastAsia="方正黑体_GBK"/>
      </w:rPr>
    </w:lvl>
    <w:lvl w:ilvl="5" w:tentative="0">
      <w:start w:val="1"/>
      <w:numFmt w:val="decimal"/>
      <w:lvlText w:val="%6."/>
      <w:lvlJc w:val="right"/>
      <w:pPr>
        <w:tabs>
          <w:tab w:val="left" w:pos="0"/>
        </w:tabs>
        <w:ind w:left="2820" w:hanging="420"/>
      </w:pPr>
      <w:rPr>
        <w:rFonts w:hint="default" w:ascii="方正黑体_GBK" w:hAnsi="方正黑体_GBK" w:eastAsia="方正黑体_GBK"/>
      </w:rPr>
    </w:lvl>
    <w:lvl w:ilvl="6" w:tentative="0">
      <w:start w:val="1"/>
      <w:numFmt w:val="decimal"/>
      <w:lvlText w:val="%7."/>
      <w:lvlJc w:val="left"/>
      <w:pPr>
        <w:tabs>
          <w:tab w:val="left" w:pos="0"/>
        </w:tabs>
        <w:ind w:left="3240" w:hanging="420"/>
      </w:pPr>
      <w:rPr>
        <w:rFonts w:hint="default" w:ascii="方正黑体_GBK" w:hAnsi="方正黑体_GBK" w:eastAsia="方正黑体_GBK"/>
      </w:rPr>
    </w:lvl>
    <w:lvl w:ilvl="7" w:tentative="0">
      <w:start w:val="1"/>
      <w:numFmt w:val="lowerLetter"/>
      <w:lvlText w:val="%8)"/>
      <w:lvlJc w:val="left"/>
      <w:pPr>
        <w:tabs>
          <w:tab w:val="left" w:pos="0"/>
        </w:tabs>
        <w:ind w:left="3660" w:hanging="420"/>
      </w:pPr>
      <w:rPr>
        <w:rFonts w:hint="default" w:ascii="方正黑体_GBK" w:hAnsi="方正黑体_GBK" w:eastAsia="方正黑体_GBK"/>
      </w:rPr>
    </w:lvl>
    <w:lvl w:ilvl="8" w:tentative="0">
      <w:start w:val="1"/>
      <w:numFmt w:val="decimal"/>
      <w:lvlText w:val="%9."/>
      <w:lvlJc w:val="right"/>
      <w:pPr>
        <w:tabs>
          <w:tab w:val="left" w:pos="0"/>
        </w:tabs>
        <w:ind w:left="4080" w:hanging="420"/>
      </w:pPr>
      <w:rPr>
        <w:rFonts w:hint="default" w:ascii="方正黑体_GBK" w:hAnsi="方正黑体_GBK" w:eastAsia="方正黑体_GBK"/>
      </w:rPr>
    </w:lvl>
  </w:abstractNum>
  <w:abstractNum w:abstractNumId="1">
    <w:nsid w:val="CF092B84"/>
    <w:multiLevelType w:val="multilevel"/>
    <w:tmpl w:val="CF092B84"/>
    <w:lvl w:ilvl="0" w:tentative="0">
      <w:start w:val="1"/>
      <w:numFmt w:val="decimal"/>
      <w:lvlText w:val="（%1）"/>
      <w:legacy w:legacy="1" w:legacySpace="0" w:legacyIndent="420"/>
      <w:lvlJc w:val="left"/>
      <w:pPr>
        <w:ind w:left="709" w:hanging="420"/>
      </w:pPr>
      <w:rPr>
        <w:rFonts w:hint="default" w:ascii="方正黑体_GBK" w:hAnsi="方正黑体_GBK" w:eastAsia="方正黑体_GBK"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2">
    <w:nsid w:val="0053208E"/>
    <w:multiLevelType w:val="multilevel"/>
    <w:tmpl w:val="0053208E"/>
    <w:lvl w:ilvl="0" w:tentative="0">
      <w:start w:val="1"/>
      <w:numFmt w:val="chineseCountingThousand"/>
      <w:lvlText w:val="（%1）"/>
      <w:legacy w:legacy="1" w:legacySpace="0" w:legacyIndent="420"/>
      <w:lvlJc w:val="left"/>
      <w:pPr>
        <w:ind w:left="704" w:hanging="420"/>
      </w:pPr>
      <w:rPr>
        <w:rFonts w:hint="eastAsia" w:ascii="方正黑体_GBK" w:hAnsi="方正黑体_GBK" w:eastAsia="方正黑体_GBK"/>
        <w:b w:val="0"/>
        <w:bCs w:val="0"/>
      </w:rPr>
    </w:lvl>
    <w:lvl w:ilvl="1" w:tentative="0">
      <w:start w:val="1"/>
      <w:numFmt w:val="lowerLetter"/>
      <w:lvlText w:val="%2)"/>
      <w:legacy w:legacy="1" w:legacySpace="0" w:legacyIndent="420"/>
      <w:lvlJc w:val="left"/>
      <w:pPr>
        <w:ind w:left="1124" w:hanging="420"/>
      </w:pPr>
      <w:rPr>
        <w:rFonts w:hint="default" w:ascii="方正黑体_GBK" w:hAnsi="方正黑体_GBK" w:eastAsia="方正黑体_GBK"/>
      </w:rPr>
    </w:lvl>
    <w:lvl w:ilvl="2" w:tentative="0">
      <w:start w:val="1"/>
      <w:numFmt w:val="decimal"/>
      <w:lvlText w:val="%3."/>
      <w:legacy w:legacy="1" w:legacySpace="0" w:legacyIndent="420"/>
      <w:lvlJc w:val="right"/>
      <w:pPr>
        <w:ind w:left="1544" w:hanging="420"/>
      </w:pPr>
      <w:rPr>
        <w:rFonts w:hint="default" w:ascii="方正黑体_GBK" w:hAnsi="方正黑体_GBK" w:eastAsia="方正黑体_GBK"/>
      </w:rPr>
    </w:lvl>
    <w:lvl w:ilvl="3" w:tentative="0">
      <w:start w:val="1"/>
      <w:numFmt w:val="decimal"/>
      <w:lvlText w:val="%4."/>
      <w:legacy w:legacy="1" w:legacySpace="0" w:legacyIndent="420"/>
      <w:lvlJc w:val="left"/>
      <w:pPr>
        <w:ind w:left="1964" w:hanging="420"/>
      </w:pPr>
      <w:rPr>
        <w:rFonts w:hint="default" w:ascii="方正黑体_GBK" w:hAnsi="方正黑体_GBK" w:eastAsia="方正黑体_GBK"/>
      </w:rPr>
    </w:lvl>
    <w:lvl w:ilvl="4" w:tentative="0">
      <w:start w:val="1"/>
      <w:numFmt w:val="lowerLetter"/>
      <w:lvlText w:val="%5)"/>
      <w:legacy w:legacy="1" w:legacySpace="0" w:legacyIndent="420"/>
      <w:lvlJc w:val="left"/>
      <w:pPr>
        <w:ind w:left="2384" w:hanging="420"/>
      </w:pPr>
      <w:rPr>
        <w:rFonts w:hint="default" w:ascii="方正黑体_GBK" w:hAnsi="方正黑体_GBK" w:eastAsia="方正黑体_GBK"/>
      </w:rPr>
    </w:lvl>
    <w:lvl w:ilvl="5" w:tentative="0">
      <w:start w:val="1"/>
      <w:numFmt w:val="decimal"/>
      <w:lvlText w:val="%6."/>
      <w:legacy w:legacy="1" w:legacySpace="0" w:legacyIndent="420"/>
      <w:lvlJc w:val="right"/>
      <w:pPr>
        <w:ind w:left="2804" w:hanging="420"/>
      </w:pPr>
      <w:rPr>
        <w:rFonts w:hint="default" w:ascii="方正黑体_GBK" w:hAnsi="方正黑体_GBK" w:eastAsia="方正黑体_GBK"/>
      </w:rPr>
    </w:lvl>
    <w:lvl w:ilvl="6" w:tentative="0">
      <w:start w:val="1"/>
      <w:numFmt w:val="decimal"/>
      <w:lvlText w:val="%7."/>
      <w:legacy w:legacy="1" w:legacySpace="0" w:legacyIndent="420"/>
      <w:lvlJc w:val="left"/>
      <w:pPr>
        <w:ind w:left="3224" w:hanging="420"/>
      </w:pPr>
      <w:rPr>
        <w:rFonts w:hint="default" w:ascii="方正黑体_GBK" w:hAnsi="方正黑体_GBK" w:eastAsia="方正黑体_GBK"/>
      </w:rPr>
    </w:lvl>
    <w:lvl w:ilvl="7" w:tentative="0">
      <w:start w:val="1"/>
      <w:numFmt w:val="lowerLetter"/>
      <w:lvlText w:val="%8)"/>
      <w:legacy w:legacy="1" w:legacySpace="0" w:legacyIndent="420"/>
      <w:lvlJc w:val="left"/>
      <w:pPr>
        <w:ind w:left="3644" w:hanging="420"/>
      </w:pPr>
      <w:rPr>
        <w:rFonts w:hint="default" w:ascii="方正黑体_GBK" w:hAnsi="方正黑体_GBK" w:eastAsia="方正黑体_GBK"/>
      </w:rPr>
    </w:lvl>
    <w:lvl w:ilvl="8" w:tentative="0">
      <w:start w:val="1"/>
      <w:numFmt w:val="decimal"/>
      <w:lvlText w:val="%9."/>
      <w:legacy w:legacy="1" w:legacySpace="0" w:legacyIndent="420"/>
      <w:lvlJc w:val="right"/>
      <w:pPr>
        <w:ind w:left="4064" w:hanging="420"/>
      </w:pPr>
      <w:rPr>
        <w:rFonts w:hint="default" w:ascii="方正黑体_GBK" w:hAnsi="方正黑体_GBK" w:eastAsia="方正黑体_GBK"/>
      </w:rPr>
    </w:lvl>
  </w:abstractNum>
  <w:abstractNum w:abstractNumId="3">
    <w:nsid w:val="00B96969"/>
    <w:multiLevelType w:val="multilevel"/>
    <w:tmpl w:val="00B96969"/>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4">
    <w:nsid w:val="014409BF"/>
    <w:multiLevelType w:val="singleLevel"/>
    <w:tmpl w:val="014409BF"/>
    <w:lvl w:ilvl="0" w:tentative="0">
      <w:start w:val="1"/>
      <w:numFmt w:val="decimal"/>
      <w:suff w:val="nothing"/>
      <w:lvlText w:val="（%1）"/>
      <w:lvlJc w:val="left"/>
    </w:lvl>
  </w:abstractNum>
  <w:abstractNum w:abstractNumId="5">
    <w:nsid w:val="022BB7FB"/>
    <w:multiLevelType w:val="singleLevel"/>
    <w:tmpl w:val="022BB7FB"/>
    <w:lvl w:ilvl="0" w:tentative="0">
      <w:start w:val="1"/>
      <w:numFmt w:val="decimal"/>
      <w:suff w:val="nothing"/>
      <w:lvlText w:val="（%1）"/>
      <w:lvlJc w:val="left"/>
    </w:lvl>
  </w:abstractNum>
  <w:abstractNum w:abstractNumId="6">
    <w:nsid w:val="02519EC2"/>
    <w:multiLevelType w:val="singleLevel"/>
    <w:tmpl w:val="02519EC2"/>
    <w:lvl w:ilvl="0" w:tentative="0">
      <w:start w:val="1"/>
      <w:numFmt w:val="decimal"/>
      <w:suff w:val="nothing"/>
      <w:lvlText w:val="（%1）"/>
      <w:lvlJc w:val="left"/>
    </w:lvl>
  </w:abstractNum>
  <w:abstractNum w:abstractNumId="7">
    <w:nsid w:val="02B79C19"/>
    <w:multiLevelType w:val="singleLevel"/>
    <w:tmpl w:val="02B79C19"/>
    <w:lvl w:ilvl="0" w:tentative="0">
      <w:start w:val="1"/>
      <w:numFmt w:val="decimal"/>
      <w:suff w:val="nothing"/>
      <w:lvlText w:val="（%1）"/>
      <w:lvlJc w:val="left"/>
    </w:lvl>
  </w:abstractNum>
  <w:abstractNum w:abstractNumId="8">
    <w:nsid w:val="0305FB27"/>
    <w:multiLevelType w:val="multilevel"/>
    <w:tmpl w:val="0305FB27"/>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9">
    <w:nsid w:val="0336C7B0"/>
    <w:multiLevelType w:val="multilevel"/>
    <w:tmpl w:val="0336C7B0"/>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10">
    <w:nsid w:val="0336F968"/>
    <w:multiLevelType w:val="multilevel"/>
    <w:tmpl w:val="0336F968"/>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11">
    <w:nsid w:val="04FF9615"/>
    <w:multiLevelType w:val="singleLevel"/>
    <w:tmpl w:val="04FF9615"/>
    <w:lvl w:ilvl="0" w:tentative="0">
      <w:start w:val="1"/>
      <w:numFmt w:val="decimal"/>
      <w:suff w:val="nothing"/>
      <w:lvlText w:val="（%1）"/>
      <w:lvlJc w:val="left"/>
    </w:lvl>
  </w:abstractNum>
  <w:abstractNum w:abstractNumId="12">
    <w:nsid w:val="05DA5C12"/>
    <w:multiLevelType w:val="singleLevel"/>
    <w:tmpl w:val="05DA5C12"/>
    <w:lvl w:ilvl="0" w:tentative="0">
      <w:start w:val="1"/>
      <w:numFmt w:val="decimal"/>
      <w:suff w:val="nothing"/>
      <w:lvlText w:val="%1."/>
      <w:lvlJc w:val="left"/>
    </w:lvl>
  </w:abstractNum>
  <w:abstractNum w:abstractNumId="13">
    <w:nsid w:val="59ADCABA"/>
    <w:multiLevelType w:val="multilevel"/>
    <w:tmpl w:val="59ADCABA"/>
    <w:lvl w:ilvl="0" w:tentative="0">
      <w:start w:val="1"/>
      <w:numFmt w:val="japaneseCounting"/>
      <w:lvlText w:val="（%1）"/>
      <w:lvlJc w:val="left"/>
      <w:pPr>
        <w:tabs>
          <w:tab w:val="left" w:pos="0"/>
        </w:tabs>
        <w:ind w:left="1021" w:hanging="720"/>
      </w:pPr>
      <w:rPr>
        <w:rFonts w:hint="default" w:ascii="方正黑体_GBK" w:hAnsi="方正黑体_GBK" w:eastAsia="方正黑体_GBK"/>
      </w:rPr>
    </w:lvl>
    <w:lvl w:ilvl="1" w:tentative="0">
      <w:start w:val="1"/>
      <w:numFmt w:val="lowerLetter"/>
      <w:lvlText w:val="%2)"/>
      <w:lvlJc w:val="left"/>
      <w:pPr>
        <w:tabs>
          <w:tab w:val="left" w:pos="0"/>
        </w:tabs>
        <w:ind w:left="1141" w:hanging="420"/>
      </w:pPr>
      <w:rPr>
        <w:rFonts w:hint="default" w:ascii="方正黑体_GBK" w:hAnsi="方正黑体_GBK" w:eastAsia="方正黑体_GBK"/>
      </w:rPr>
    </w:lvl>
    <w:lvl w:ilvl="2" w:tentative="0">
      <w:start w:val="1"/>
      <w:numFmt w:val="decimal"/>
      <w:lvlText w:val="%3."/>
      <w:lvlJc w:val="right"/>
      <w:pPr>
        <w:tabs>
          <w:tab w:val="left" w:pos="0"/>
        </w:tabs>
        <w:ind w:left="1561" w:hanging="420"/>
      </w:pPr>
      <w:rPr>
        <w:rFonts w:hint="default" w:ascii="方正黑体_GBK" w:hAnsi="方正黑体_GBK" w:eastAsia="方正黑体_GBK"/>
      </w:rPr>
    </w:lvl>
    <w:lvl w:ilvl="3" w:tentative="0">
      <w:start w:val="1"/>
      <w:numFmt w:val="decimal"/>
      <w:lvlText w:val="%4."/>
      <w:lvlJc w:val="left"/>
      <w:pPr>
        <w:tabs>
          <w:tab w:val="left" w:pos="0"/>
        </w:tabs>
        <w:ind w:left="1981" w:hanging="420"/>
      </w:pPr>
      <w:rPr>
        <w:rFonts w:hint="default" w:ascii="方正黑体_GBK" w:hAnsi="方正黑体_GBK" w:eastAsia="方正黑体_GBK"/>
      </w:rPr>
    </w:lvl>
    <w:lvl w:ilvl="4" w:tentative="0">
      <w:start w:val="1"/>
      <w:numFmt w:val="lowerLetter"/>
      <w:lvlText w:val="%5)"/>
      <w:lvlJc w:val="left"/>
      <w:pPr>
        <w:tabs>
          <w:tab w:val="left" w:pos="0"/>
        </w:tabs>
        <w:ind w:left="2401" w:hanging="420"/>
      </w:pPr>
      <w:rPr>
        <w:rFonts w:hint="default" w:ascii="方正黑体_GBK" w:hAnsi="方正黑体_GBK" w:eastAsia="方正黑体_GBK"/>
      </w:rPr>
    </w:lvl>
    <w:lvl w:ilvl="5" w:tentative="0">
      <w:start w:val="1"/>
      <w:numFmt w:val="decimal"/>
      <w:lvlText w:val="%6."/>
      <w:lvlJc w:val="right"/>
      <w:pPr>
        <w:tabs>
          <w:tab w:val="left" w:pos="0"/>
        </w:tabs>
        <w:ind w:left="2821" w:hanging="420"/>
      </w:pPr>
      <w:rPr>
        <w:rFonts w:hint="default" w:ascii="方正黑体_GBK" w:hAnsi="方正黑体_GBK" w:eastAsia="方正黑体_GBK"/>
      </w:rPr>
    </w:lvl>
    <w:lvl w:ilvl="6" w:tentative="0">
      <w:start w:val="1"/>
      <w:numFmt w:val="decimal"/>
      <w:lvlText w:val="%7."/>
      <w:lvlJc w:val="left"/>
      <w:pPr>
        <w:tabs>
          <w:tab w:val="left" w:pos="0"/>
        </w:tabs>
        <w:ind w:left="3241" w:hanging="420"/>
      </w:pPr>
      <w:rPr>
        <w:rFonts w:hint="default" w:ascii="方正黑体_GBK" w:hAnsi="方正黑体_GBK" w:eastAsia="方正黑体_GBK"/>
      </w:rPr>
    </w:lvl>
    <w:lvl w:ilvl="7" w:tentative="0">
      <w:start w:val="1"/>
      <w:numFmt w:val="lowerLetter"/>
      <w:lvlText w:val="%8)"/>
      <w:lvlJc w:val="left"/>
      <w:pPr>
        <w:tabs>
          <w:tab w:val="left" w:pos="0"/>
        </w:tabs>
        <w:ind w:left="3661" w:hanging="420"/>
      </w:pPr>
      <w:rPr>
        <w:rFonts w:hint="default" w:ascii="方正黑体_GBK" w:hAnsi="方正黑体_GBK" w:eastAsia="方正黑体_GBK"/>
      </w:rPr>
    </w:lvl>
    <w:lvl w:ilvl="8" w:tentative="0">
      <w:start w:val="1"/>
      <w:numFmt w:val="decimal"/>
      <w:lvlText w:val="%9."/>
      <w:lvlJc w:val="right"/>
      <w:pPr>
        <w:tabs>
          <w:tab w:val="left" w:pos="0"/>
        </w:tabs>
        <w:ind w:left="4081" w:hanging="420"/>
      </w:pPr>
      <w:rPr>
        <w:rFonts w:hint="default" w:ascii="方正黑体_GBK" w:hAnsi="方正黑体_GBK" w:eastAsia="方正黑体_GBK"/>
      </w:rPr>
    </w:lvl>
  </w:abstractNum>
  <w:num w:numId="1">
    <w:abstractNumId w:val="2"/>
  </w:num>
  <w:num w:numId="2">
    <w:abstractNumId w:val="1"/>
  </w:num>
  <w:num w:numId="3">
    <w:abstractNumId w:val="13"/>
  </w:num>
  <w:num w:numId="4">
    <w:abstractNumId w:val="0"/>
  </w:num>
  <w:num w:numId="5">
    <w:abstractNumId w:val="12"/>
  </w:num>
  <w:num w:numId="6">
    <w:abstractNumId w:val="4"/>
  </w:num>
  <w:num w:numId="7">
    <w:abstractNumId w:val="6"/>
  </w:num>
  <w:num w:numId="8">
    <w:abstractNumId w:val="6"/>
    <w:lvlOverride w:ilvl="0">
      <w:startOverride w:val="1"/>
    </w:lvlOverride>
  </w:num>
  <w:num w:numId="9">
    <w:abstractNumId w:val="5"/>
  </w:num>
  <w:num w:numId="10">
    <w:abstractNumId w:val="10"/>
    <w:lvlOverride w:ilvl="0">
      <w:startOverride w:val="1"/>
    </w:lvlOverride>
  </w:num>
  <w:num w:numId="11">
    <w:abstractNumId w:val="3"/>
  </w:num>
  <w:num w:numId="12">
    <w:abstractNumId w:val="11"/>
  </w:num>
  <w:num w:numId="13">
    <w:abstractNumId w:val="9"/>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ZmFlOWJlNDE0ZTViNzAyNDYwODc3ZWNkMWE0NDA0NDIifQ=="/>
  </w:docVars>
  <w:rsids>
    <w:rsidRoot w:val="00846F7C"/>
    <w:rsid w:val="00846F7C"/>
    <w:rsid w:val="00B106F9"/>
    <w:rsid w:val="02C97466"/>
    <w:rsid w:val="0ACA0FEE"/>
    <w:rsid w:val="0D636196"/>
    <w:rsid w:val="0DAB0E96"/>
    <w:rsid w:val="253F3D17"/>
    <w:rsid w:val="2CA647E4"/>
    <w:rsid w:val="30567EB1"/>
    <w:rsid w:val="595F218F"/>
    <w:rsid w:val="5CA86ED5"/>
    <w:rsid w:val="645D4A61"/>
    <w:rsid w:val="718F6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6">
    <w:name w:val="toc 5"/>
    <w:basedOn w:val="1"/>
    <w:next w:val="1"/>
    <w:qFormat/>
    <w:uiPriority w:val="0"/>
    <w:pPr>
      <w:ind w:left="1680"/>
    </w:pPr>
  </w:style>
  <w:style w:type="paragraph" w:styleId="7">
    <w:name w:val="toc 3"/>
    <w:basedOn w:val="1"/>
    <w:next w:val="1"/>
    <w:qFormat/>
    <w:uiPriority w:val="0"/>
    <w:pPr>
      <w:ind w:left="840"/>
    </w:pPr>
  </w:style>
  <w:style w:type="paragraph" w:styleId="8">
    <w:name w:val="footer"/>
    <w:basedOn w:val="1"/>
    <w:qFormat/>
    <w:uiPriority w:val="0"/>
    <w:pPr>
      <w:tabs>
        <w:tab w:val="center" w:pos="4153"/>
        <w:tab w:val="right" w:pos="8307"/>
      </w:tabs>
      <w:snapToGrid w:val="0"/>
      <w:jc w:val="left"/>
    </w:pPr>
  </w:style>
  <w:style w:type="paragraph" w:styleId="9">
    <w:name w:val="header"/>
    <w:basedOn w:val="1"/>
    <w:qFormat/>
    <w:uiPriority w:val="0"/>
    <w:pPr>
      <w:pBdr>
        <w:bottom w:val="single" w:color="auto" w:sz="6" w:space="1"/>
      </w:pBdr>
      <w:tabs>
        <w:tab w:val="center" w:pos="4153"/>
        <w:tab w:val="right" w:pos="8307"/>
      </w:tabs>
      <w:snapToGrid w:val="0"/>
      <w:jc w:val="center"/>
    </w:pPr>
  </w:style>
  <w:style w:type="paragraph" w:styleId="10">
    <w:name w:val="toc 1"/>
    <w:basedOn w:val="1"/>
    <w:next w:val="1"/>
    <w:qFormat/>
    <w:uiPriority w:val="0"/>
  </w:style>
  <w:style w:type="paragraph" w:styleId="11">
    <w:name w:val="toc 4"/>
    <w:basedOn w:val="1"/>
    <w:next w:val="1"/>
    <w:qFormat/>
    <w:uiPriority w:val="0"/>
    <w:pPr>
      <w:ind w:left="1260"/>
    </w:pPr>
  </w:style>
  <w:style w:type="paragraph" w:styleId="12">
    <w:name w:val="toc 2"/>
    <w:basedOn w:val="1"/>
    <w:next w:val="1"/>
    <w:qFormat/>
    <w:uiPriority w:val="0"/>
    <w:pPr>
      <w:ind w:left="420"/>
    </w:pPr>
  </w:style>
  <w:style w:type="paragraph" w:styleId="13">
    <w:name w:val="Normal (Web)"/>
    <w:next w:val="10"/>
    <w:qFormat/>
    <w:uiPriority w:val="0"/>
    <w:pPr>
      <w:spacing w:before="102" w:after="102" w:line="1099" w:lineRule="atLeast"/>
      <w:ind w:firstLine="419"/>
      <w:textAlignment w:val="baseline"/>
    </w:pPr>
    <w:rPr>
      <w:rFonts w:ascii="Times New Roman" w:hAnsi="Times New Roman" w:eastAsia="宋体" w:cs="Times New Roman"/>
      <w:sz w:val="24"/>
      <w:szCs w:val="24"/>
      <w:lang w:val="en-US" w:eastAsia="zh-CN" w:bidi="ar-SA"/>
    </w:rPr>
  </w:style>
  <w:style w:type="table" w:styleId="15">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0000FF"/>
      <w:u w:val="single"/>
    </w:rPr>
  </w:style>
  <w:style w:type="paragraph" w:customStyle="1" w:styleId="18">
    <w:name w:val="引文目录1"/>
    <w:next w:val="1"/>
    <w:qFormat/>
    <w:uiPriority w:val="0"/>
    <w:pPr>
      <w:widowControl w:val="0"/>
      <w:spacing w:before="100" w:beforeAutospacing="1" w:after="100" w:afterAutospacing="1"/>
      <w:ind w:left="200" w:leftChars="200"/>
      <w:jc w:val="both"/>
      <w:textAlignment w:val="baseline"/>
    </w:pPr>
    <w:rPr>
      <w:rFonts w:ascii="Times New Roman" w:hAnsi="Times New Roman" w:eastAsia="宋体" w:cs="Times New Roman"/>
      <w:kern w:val="2"/>
      <w:sz w:val="21"/>
      <w:szCs w:val="21"/>
      <w:lang w:val="en-US" w:eastAsia="zh-CN" w:bidi="ar-SA"/>
    </w:rPr>
  </w:style>
  <w:style w:type="paragraph" w:customStyle="1" w:styleId="19">
    <w:name w:val="Normale4868478"/>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
    <w:name w:val="heading 18f65be89"/>
    <w:basedOn w:val="19"/>
    <w:next w:val="1"/>
    <w:qFormat/>
    <w:uiPriority w:val="0"/>
    <w:pPr>
      <w:keepNext/>
      <w:keepLines/>
      <w:spacing w:before="340" w:after="330" w:line="578" w:lineRule="auto"/>
      <w:outlineLvl w:val="0"/>
    </w:pPr>
    <w:rPr>
      <w:b/>
      <w:bCs/>
      <w:kern w:val="44"/>
      <w:sz w:val="44"/>
    </w:rPr>
  </w:style>
  <w:style w:type="paragraph" w:customStyle="1" w:styleId="21">
    <w:name w:val="heading 2bb54962d"/>
    <w:basedOn w:val="19"/>
    <w:next w:val="1"/>
    <w:qFormat/>
    <w:uiPriority w:val="0"/>
    <w:pPr>
      <w:keepNext/>
      <w:keepLines/>
      <w:spacing w:before="260" w:after="260" w:line="415" w:lineRule="auto"/>
      <w:outlineLvl w:val="1"/>
    </w:pPr>
    <w:rPr>
      <w:rFonts w:ascii="Luxi Sans" w:hAnsi="Luxi Sans" w:eastAsia="黑体"/>
      <w:b/>
      <w:sz w:val="32"/>
    </w:rPr>
  </w:style>
  <w:style w:type="paragraph" w:customStyle="1" w:styleId="22">
    <w:name w:val="heading 3333269eb"/>
    <w:basedOn w:val="19"/>
    <w:next w:val="1"/>
    <w:qFormat/>
    <w:uiPriority w:val="0"/>
    <w:pPr>
      <w:keepNext/>
      <w:keepLines/>
      <w:spacing w:before="260" w:after="260" w:line="415" w:lineRule="auto"/>
      <w:outlineLvl w:val="2"/>
    </w:pPr>
    <w:rPr>
      <w:b/>
      <w:sz w:val="32"/>
    </w:rPr>
  </w:style>
  <w:style w:type="character" w:customStyle="1" w:styleId="23">
    <w:name w:val="Default Paragraph Fontb97705ed"/>
    <w:qFormat/>
    <w:uiPriority w:val="0"/>
  </w:style>
  <w:style w:type="paragraph" w:customStyle="1" w:styleId="24">
    <w:name w:val="引文目录195c2c557"/>
    <w:basedOn w:val="19"/>
    <w:next w:val="1"/>
    <w:qFormat/>
    <w:uiPriority w:val="0"/>
    <w:pPr>
      <w:ind w:left="200" w:leftChars="200"/>
    </w:pPr>
  </w:style>
  <w:style w:type="paragraph" w:customStyle="1" w:styleId="25">
    <w:name w:val="toc 5da8dc192"/>
    <w:basedOn w:val="19"/>
    <w:next w:val="1"/>
    <w:qFormat/>
    <w:uiPriority w:val="0"/>
    <w:pPr>
      <w:ind w:left="1680"/>
    </w:pPr>
  </w:style>
  <w:style w:type="paragraph" w:customStyle="1" w:styleId="26">
    <w:name w:val="toc 3a7f1e200"/>
    <w:basedOn w:val="19"/>
    <w:next w:val="1"/>
    <w:qFormat/>
    <w:uiPriority w:val="0"/>
    <w:pPr>
      <w:ind w:left="840"/>
    </w:pPr>
  </w:style>
  <w:style w:type="paragraph" w:customStyle="1" w:styleId="27">
    <w:name w:val="footerce5e4699"/>
    <w:basedOn w:val="19"/>
    <w:qFormat/>
    <w:uiPriority w:val="0"/>
    <w:pPr>
      <w:tabs>
        <w:tab w:val="center" w:pos="4153"/>
        <w:tab w:val="right" w:pos="8307"/>
      </w:tabs>
      <w:snapToGrid w:val="0"/>
      <w:jc w:val="left"/>
    </w:pPr>
    <w:rPr>
      <w:sz w:val="18"/>
    </w:rPr>
  </w:style>
  <w:style w:type="paragraph" w:customStyle="1" w:styleId="28">
    <w:name w:val="header079ad334"/>
    <w:basedOn w:val="19"/>
    <w:qFormat/>
    <w:uiPriority w:val="0"/>
    <w:pPr>
      <w:pBdr>
        <w:bottom w:val="single" w:color="auto" w:sz="6" w:space="1"/>
      </w:pBdr>
      <w:tabs>
        <w:tab w:val="center" w:pos="4153"/>
        <w:tab w:val="right" w:pos="8307"/>
      </w:tabs>
      <w:snapToGrid w:val="0"/>
      <w:jc w:val="center"/>
    </w:pPr>
    <w:rPr>
      <w:sz w:val="18"/>
    </w:rPr>
  </w:style>
  <w:style w:type="paragraph" w:customStyle="1" w:styleId="29">
    <w:name w:val="toc 1428f6c94"/>
    <w:basedOn w:val="19"/>
    <w:next w:val="1"/>
    <w:qFormat/>
    <w:uiPriority w:val="0"/>
  </w:style>
  <w:style w:type="paragraph" w:customStyle="1" w:styleId="30">
    <w:name w:val="toc 4203cfd38"/>
    <w:basedOn w:val="19"/>
    <w:next w:val="1"/>
    <w:qFormat/>
    <w:uiPriority w:val="0"/>
    <w:pPr>
      <w:ind w:left="1260"/>
    </w:pPr>
  </w:style>
  <w:style w:type="paragraph" w:customStyle="1" w:styleId="31">
    <w:name w:val="toc 258472efc"/>
    <w:basedOn w:val="19"/>
    <w:next w:val="1"/>
    <w:qFormat/>
    <w:uiPriority w:val="0"/>
    <w:pPr>
      <w:ind w:left="420"/>
    </w:pPr>
  </w:style>
  <w:style w:type="paragraph" w:customStyle="1" w:styleId="32">
    <w:name w:val="列出段落1758673b2"/>
    <w:next w:val="12"/>
    <w:qFormat/>
    <w:uiPriority w:val="0"/>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33">
    <w:name w:val="Normal15d0aad0"/>
    <w:qFormat/>
    <w:uiPriority w:val="0"/>
    <w:pPr>
      <w:widowControl w:val="0"/>
      <w:jc w:val="both"/>
    </w:pPr>
    <w:rPr>
      <w:rFonts w:ascii="Calibri" w:hAnsi="Calibri" w:eastAsia="宋体" w:cs="Times New Roman"/>
      <w:kern w:val="2"/>
      <w:sz w:val="21"/>
      <w:szCs w:val="21"/>
      <w:lang w:val="en-US" w:eastAsia="zh-CN" w:bidi="ar-SA"/>
    </w:rPr>
  </w:style>
  <w:style w:type="paragraph" w:customStyle="1" w:styleId="34">
    <w:name w:val="annotation text23"/>
    <w:next w:val="10"/>
    <w:qFormat/>
    <w:uiPriority w:val="0"/>
    <w:pPr>
      <w:widowControl w:val="0"/>
    </w:pPr>
    <w:rPr>
      <w:rFonts w:ascii="Calibri" w:hAnsi="Calibri" w:eastAsia="宋体" w:cs="Times New Roman"/>
      <w:kern w:val="2"/>
      <w:sz w:val="21"/>
      <w:szCs w:val="21"/>
      <w:lang w:val="en-US" w:eastAsia="zh-CN" w:bidi="ar-SA"/>
    </w:rPr>
  </w:style>
  <w:style w:type="character" w:customStyle="1" w:styleId="35">
    <w:name w:val="fontstyle01"/>
    <w:qFormat/>
    <w:uiPriority w:val="0"/>
    <w:rPr>
      <w:rFonts w:hint="default" w:ascii="MicrosoftYaHei_PDF_Subset" w:hAnsi="MicrosoftYaHei_PDF_Subset"/>
      <w:color w:val="000000"/>
      <w:sz w:val="20"/>
      <w:szCs w:val="20"/>
    </w:rPr>
  </w:style>
  <w:style w:type="paragraph" w:customStyle="1" w:styleId="36">
    <w:name w:val="Normal1f0f3fed"/>
    <w:next w:val="1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customStyle="1" w:styleId="37">
    <w:name w:val="Normal (Web)6be45a04"/>
    <w:next w:val="9"/>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方正黑体_GBK" w:hAnsi="方正黑体_GBK" w:eastAsia="方正黑体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38">
    <w:name w:val="Normalad5cc73ead5cc73e"/>
    <w:next w:val="10"/>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9">
    <w:name w:val="列出段落16a5473526a547352"/>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0">
    <w:name w:val="Normala378b633"/>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39890</Words>
  <Characters>40589</Characters>
  <Lines>165</Lines>
  <Paragraphs>46</Paragraphs>
  <TotalTime>1</TotalTime>
  <ScaleCrop>false</ScaleCrop>
  <LinksUpToDate>false</LinksUpToDate>
  <CharactersWithSpaces>40938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2023-05-19T01:13:00Z</dcterms:created>
  <dc:creator>HP</dc:creator>
  <cp:lastModifiedBy>马巧燕</cp:lastModifiedBy>
  <dcterms:modified xsi:type="dcterms:W3CDTF">2024-09-14T07:38:18Z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AD37A06F95A04EBD8A5E3A474F48B239</vt:lpwstr>
  </property>
</Properties>
</file>