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半年添益2001期理财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highlight w:val="none"/>
          <w:lang w:val="en-US" w:eastAsia="zh-CN"/>
        </w:rPr>
      </w:pPr>
      <w:r>
        <w:rPr>
          <w:rFonts w:hint="eastAsia" w:ascii="宋体" w:hAnsi="宋体" w:eastAsia="宋体" w:cs="宋体"/>
          <w:highlight w:val="none"/>
        </w:rPr>
        <w:t>杭银理财幸福99</w:t>
      </w:r>
      <w:r>
        <w:rPr>
          <w:rFonts w:hint="eastAsia" w:ascii="宋体" w:hAnsi="宋体" w:cs="宋体"/>
          <w:b/>
          <w:bCs/>
          <w:sz w:val="44"/>
          <w:szCs w:val="44"/>
          <w:highlight w:val="none"/>
          <w:lang w:eastAsia="zh-CN"/>
        </w:rPr>
        <w:t>半年添益2001期理财</w:t>
      </w:r>
      <w:r>
        <w:rPr>
          <w:rFonts w:hint="eastAsia" w:ascii="宋体" w:hAnsi="宋体" w:eastAsia="宋体" w:cs="宋体"/>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杭银理财幸福99半年添益2001期理财风险揭示书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杭银理财幸福99半年添益2001期理财产品说明书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eastAsia="zh-CN"/>
        </w:rPr>
        <w:t>半年添益2001期理财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24"/>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23"/>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为杭州银行股份有限公司，杭银理财系杭州银行全资子公司，双方存在关联关系。杭州银行作为本理财</w:t>
      </w:r>
      <w:r>
        <w:rPr>
          <w:rFonts w:hint="eastAsia" w:ascii="宋体" w:hAnsi="宋体" w:cs="宋体"/>
          <w:b/>
          <w:sz w:val="24"/>
          <w:highlight w:val="none"/>
          <w:lang w:eastAsia="zh-CN"/>
        </w:rPr>
        <w:t>计划</w:t>
      </w:r>
      <w:r>
        <w:rPr>
          <w:rFonts w:ascii="宋体" w:hAnsi="宋体" w:cs="宋体"/>
          <w:b/>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sz w:val="24"/>
          <w:highlight w:val="none"/>
          <w:lang w:eastAsia="zh-CN"/>
        </w:rPr>
        <w:t>理财计划</w:t>
      </w:r>
      <w:r>
        <w:rPr>
          <w:rFonts w:ascii="宋体" w:hAnsi="宋体" w:cs="宋体"/>
          <w:b/>
          <w:sz w:val="24"/>
          <w:highlight w:val="none"/>
        </w:rPr>
        <w:t>收益，不承担</w:t>
      </w:r>
      <w:r>
        <w:rPr>
          <w:rFonts w:hint="eastAsia" w:ascii="宋体" w:hAnsi="宋体" w:cs="宋体"/>
          <w:b/>
          <w:sz w:val="24"/>
          <w:highlight w:val="none"/>
          <w:lang w:eastAsia="zh-CN"/>
        </w:rPr>
        <w:t>理财计划</w:t>
      </w:r>
      <w:r>
        <w:rPr>
          <w:rFonts w:ascii="宋体" w:hAnsi="宋体" w:cs="宋体"/>
          <w:b/>
          <w:sz w:val="24"/>
          <w:highlight w:val="none"/>
        </w:rPr>
        <w:t>的投资、兑付和风险管理责任。</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资金流动性风险：本理财</w:t>
      </w:r>
      <w:r>
        <w:rPr>
          <w:rFonts w:hint="eastAsia" w:ascii="宋体" w:hAnsi="宋体" w:cs="宋体"/>
          <w:b/>
          <w:sz w:val="24"/>
          <w:highlight w:val="none"/>
          <w:lang w:val="en-US" w:eastAsia="zh-CN"/>
        </w:rPr>
        <w:t>计划</w:t>
      </w:r>
      <w:r>
        <w:rPr>
          <w:rFonts w:hint="eastAsia" w:ascii="宋体" w:hAnsi="宋体" w:cs="宋体"/>
          <w:b/>
          <w:sz w:val="24"/>
          <w:highlight w:val="none"/>
        </w:rPr>
        <w:t>定期开放申购、赎回，非开放期内投资者不得提前交易。</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收益不达业绩比较基准风险：业绩比较基准并非预测收益，不代表产品的未来表现和实际收益；本理财</w:t>
      </w:r>
      <w:r>
        <w:rPr>
          <w:rFonts w:hint="eastAsia" w:ascii="宋体" w:hAnsi="宋体" w:cs="宋体"/>
          <w:b/>
          <w:sz w:val="24"/>
          <w:highlight w:val="none"/>
          <w:lang w:val="en-US" w:eastAsia="zh-CN"/>
        </w:rPr>
        <w:t>计划</w:t>
      </w:r>
      <w:r>
        <w:rPr>
          <w:rFonts w:hint="eastAsia" w:ascii="宋体" w:hAnsi="宋体" w:cs="宋体"/>
          <w:b/>
          <w:sz w:val="24"/>
          <w:highlight w:val="none"/>
        </w:rPr>
        <w:t>的投资收益与投资者的申购、赎回时点密切相关，收益存在一定的波动性，产品本金出现损失的可能性不容忽视。</w:t>
      </w: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lang w:eastAsia="zh-CN"/>
        </w:rPr>
        <w:t>无固定期限</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sz w:val="24"/>
          <w:highlight w:val="none"/>
          <w:lang w:eastAsia="zh-CN"/>
        </w:rPr>
        <w:t>，</w:t>
      </w:r>
      <w:r>
        <w:rPr>
          <w:rFonts w:hint="eastAsia" w:ascii="宋体" w:hAnsi="宋体" w:cs="宋体"/>
          <w:b/>
          <w:sz w:val="24"/>
          <w:highlight w:val="none"/>
          <w:lang w:val="en-US" w:eastAsia="zh-CN"/>
        </w:rPr>
        <w:t>个人投资者的风险承受能力评估以销售机构为准</w:t>
      </w:r>
      <w:r>
        <w:rPr>
          <w:rFonts w:hint="eastAsia" w:ascii="宋体" w:hAnsi="宋体" w:cs="宋体"/>
          <w:b/>
          <w:sz w:val="24"/>
          <w:highlight w:val="none"/>
        </w:rPr>
        <w:t>。</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w:t>
      </w:r>
      <w:r>
        <w:rPr>
          <w:rFonts w:hint="eastAsia" w:ascii="宋体" w:hAnsi="宋体" w:cs="宋体"/>
          <w:bCs/>
          <w:sz w:val="24"/>
          <w:highlight w:val="none"/>
          <w:lang w:eastAsia="zh-CN"/>
        </w:rPr>
        <w:t>理财计划</w:t>
      </w:r>
      <w:r>
        <w:rPr>
          <w:rFonts w:hint="eastAsia" w:ascii="宋体" w:hAnsi="宋体" w:cs="宋体"/>
          <w:bCs/>
          <w:sz w:val="24"/>
          <w:highlight w:val="none"/>
        </w:rPr>
        <w:t>管理人</w:t>
      </w:r>
      <w:r>
        <w:rPr>
          <w:rFonts w:hint="eastAsia" w:ascii="宋体" w:hAnsi="宋体" w:cs="宋体"/>
          <w:bCs/>
          <w:sz w:val="24"/>
          <w:szCs w:val="24"/>
          <w:highlight w:val="none"/>
        </w:rPr>
        <w:t>有权按照</w:t>
      </w:r>
      <w:r>
        <w:rPr>
          <w:rFonts w:hint="eastAsia" w:ascii="宋体" w:hAnsi="宋体" w:cs="宋体"/>
          <w:bCs/>
          <w:sz w:val="24"/>
          <w:highlight w:val="none"/>
        </w:rPr>
        <w:t>国内外反洗钱相关适用的</w:t>
      </w:r>
      <w:r>
        <w:rPr>
          <w:rFonts w:hint="eastAsia" w:ascii="宋体" w:hAnsi="宋体" w:cs="宋体"/>
          <w:bCs/>
          <w:sz w:val="24"/>
          <w:szCs w:val="24"/>
          <w:highlight w:val="none"/>
        </w:rPr>
        <w:t>法律法规和监管要求，从</w:t>
      </w:r>
      <w:r>
        <w:rPr>
          <w:rFonts w:hint="eastAsia" w:ascii="宋体" w:hAnsi="宋体" w:cs="宋体"/>
          <w:bCs/>
          <w:sz w:val="24"/>
          <w:szCs w:val="24"/>
          <w:highlight w:val="none"/>
          <w:lang w:eastAsia="zh-CN"/>
        </w:rPr>
        <w:t>销售机构</w:t>
      </w:r>
      <w:r>
        <w:rPr>
          <w:rFonts w:hint="eastAsia" w:ascii="宋体" w:hAnsi="宋体" w:cs="宋体"/>
          <w:bCs/>
          <w:sz w:val="24"/>
          <w:szCs w:val="24"/>
          <w:highlight w:val="none"/>
        </w:rPr>
        <w:t>获</w:t>
      </w:r>
      <w:r>
        <w:rPr>
          <w:rFonts w:hint="eastAsia" w:ascii="宋体" w:hAnsi="宋体" w:cs="宋体"/>
          <w:bCs/>
          <w:sz w:val="24"/>
          <w:highlight w:val="none"/>
        </w:rPr>
        <w:t>得相应必要的</w:t>
      </w:r>
      <w:r>
        <w:rPr>
          <w:rFonts w:hint="eastAsia" w:ascii="宋体" w:hAnsi="宋体" w:cs="宋体"/>
          <w:bCs/>
          <w:sz w:val="24"/>
          <w:szCs w:val="24"/>
          <w:highlight w:val="none"/>
        </w:rPr>
        <w:t>投资者身份信息并报送投资者身份信息及其持有理财产品信息。</w:t>
      </w:r>
      <w:r>
        <w:rPr>
          <w:rFonts w:hint="eastAsia" w:ascii="宋体" w:hAnsi="宋体" w:cs="宋体"/>
          <w:bCs/>
          <w:sz w:val="24"/>
          <w:szCs w:val="24"/>
          <w:highlight w:val="none"/>
          <w:lang w:eastAsia="zh-CN"/>
        </w:rPr>
        <w:t>销售机构</w:t>
      </w:r>
      <w:r>
        <w:rPr>
          <w:rFonts w:hint="eastAsia" w:ascii="宋体" w:hAnsi="宋体" w:cs="宋体"/>
          <w:bCs/>
          <w:sz w:val="24"/>
          <w:highlight w:val="none"/>
        </w:rPr>
        <w:t>将</w:t>
      </w:r>
      <w:r>
        <w:rPr>
          <w:rFonts w:hint="eastAsia" w:ascii="宋体" w:hAnsi="宋体" w:cs="宋体"/>
          <w:bCs/>
          <w:sz w:val="24"/>
          <w:szCs w:val="24"/>
          <w:highlight w:val="none"/>
        </w:rPr>
        <w:t>在</w:t>
      </w:r>
      <w:r>
        <w:rPr>
          <w:rFonts w:hint="eastAsia" w:ascii="宋体" w:hAnsi="宋体" w:cs="宋体"/>
          <w:bCs/>
          <w:sz w:val="24"/>
          <w:highlight w:val="none"/>
        </w:rPr>
        <w:t>合法、合理且必要时向管理人</w:t>
      </w:r>
      <w:r>
        <w:rPr>
          <w:rFonts w:hint="eastAsia" w:ascii="宋体" w:hAnsi="宋体" w:cs="宋体"/>
          <w:bCs/>
          <w:sz w:val="24"/>
          <w:szCs w:val="24"/>
          <w:highlight w:val="none"/>
        </w:rPr>
        <w:t>提供投资</w:t>
      </w:r>
      <w:r>
        <w:rPr>
          <w:rFonts w:hint="eastAsia" w:ascii="宋体" w:hAnsi="宋体" w:cs="宋体"/>
          <w:bCs/>
          <w:sz w:val="24"/>
          <w:highlight w:val="none"/>
        </w:rPr>
        <w:t>者身份识别</w:t>
      </w:r>
      <w:r>
        <w:rPr>
          <w:rFonts w:hint="eastAsia" w:ascii="宋体" w:hAnsi="宋体" w:cs="宋体"/>
          <w:bCs/>
          <w:sz w:val="24"/>
          <w:szCs w:val="24"/>
          <w:highlight w:val="none"/>
        </w:rPr>
        <w:t>信息（投资者身份</w:t>
      </w:r>
      <w:r>
        <w:rPr>
          <w:rFonts w:hint="eastAsia" w:ascii="宋体" w:hAnsi="宋体" w:cs="宋体"/>
          <w:bCs/>
          <w:sz w:val="24"/>
          <w:highlight w:val="none"/>
        </w:rPr>
        <w:t>识别</w:t>
      </w:r>
      <w:r>
        <w:rPr>
          <w:rFonts w:hint="eastAsia" w:ascii="宋体" w:hAnsi="宋体" w:cs="宋体"/>
          <w:bCs/>
          <w:sz w:val="24"/>
          <w:szCs w:val="24"/>
          <w:highlight w:val="none"/>
        </w:rPr>
        <w:t>信息包括</w:t>
      </w:r>
      <w:r>
        <w:rPr>
          <w:rFonts w:hint="eastAsia" w:ascii="宋体" w:hAnsi="宋体" w:cs="宋体"/>
          <w:bCs/>
          <w:sz w:val="24"/>
          <w:highlight w:val="none"/>
        </w:rPr>
        <w:t>但不限于</w:t>
      </w:r>
      <w:r>
        <w:rPr>
          <w:rFonts w:hint="eastAsia" w:ascii="宋体" w:hAnsi="宋体" w:cs="宋体"/>
          <w:bCs/>
          <w:sz w:val="24"/>
          <w:szCs w:val="24"/>
          <w:highlight w:val="none"/>
        </w:rPr>
        <w:t>：投资者的姓名、性别、国籍、职业、住所地或者工作单位地址、</w:t>
      </w:r>
      <w:r>
        <w:rPr>
          <w:rFonts w:hint="eastAsia" w:ascii="宋体" w:hAnsi="宋体" w:cs="宋体"/>
          <w:bCs/>
          <w:sz w:val="24"/>
          <w:highlight w:val="none"/>
        </w:rPr>
        <w:t>常居地地址、</w:t>
      </w:r>
      <w:r>
        <w:rPr>
          <w:rFonts w:hint="eastAsia" w:ascii="宋体" w:hAnsi="宋体" w:cs="宋体"/>
          <w:bCs/>
          <w:sz w:val="24"/>
          <w:szCs w:val="24"/>
          <w:highlight w:val="none"/>
        </w:rPr>
        <w:t>联系方式、身份证明文件的种类、号码和有效期限</w:t>
      </w:r>
      <w:r>
        <w:rPr>
          <w:rFonts w:hint="eastAsia" w:ascii="宋体" w:hAnsi="宋体" w:cs="宋体"/>
          <w:bCs/>
          <w:sz w:val="24"/>
          <w:highlight w:val="none"/>
        </w:rPr>
        <w:t>、代理人信息、受益所有人信息</w:t>
      </w:r>
      <w:r>
        <w:rPr>
          <w:rFonts w:hint="eastAsia" w:ascii="宋体" w:hAnsi="宋体" w:cs="宋体"/>
          <w:bCs/>
          <w:sz w:val="24"/>
          <w:szCs w:val="24"/>
          <w:highlight w:val="none"/>
        </w:rPr>
        <w:t>），以及</w:t>
      </w:r>
      <w:r>
        <w:rPr>
          <w:rFonts w:hint="eastAsia" w:ascii="宋体" w:hAnsi="宋体" w:cs="宋体"/>
          <w:bCs/>
          <w:sz w:val="24"/>
          <w:highlight w:val="none"/>
        </w:rPr>
        <w:t>在合法、合理且必要时进一步提供</w:t>
      </w:r>
      <w:r>
        <w:rPr>
          <w:rFonts w:hint="eastAsia" w:ascii="宋体" w:hAnsi="宋体" w:cs="宋体"/>
          <w:bCs/>
          <w:sz w:val="24"/>
          <w:szCs w:val="24"/>
          <w:highlight w:val="none"/>
        </w:rPr>
        <w:t>身份证明文件的复印件和影印件</w:t>
      </w:r>
      <w:r>
        <w:rPr>
          <w:rFonts w:hint="eastAsia" w:ascii="宋体" w:hAnsi="宋体" w:cs="宋体"/>
          <w:bCs/>
          <w:sz w:val="24"/>
          <w:highlight w:val="none"/>
        </w:rPr>
        <w:t>以及其他必要信息</w:t>
      </w:r>
      <w:r>
        <w:rPr>
          <w:rFonts w:hint="eastAsia" w:ascii="宋体" w:hAnsi="宋体" w:cs="宋体"/>
          <w:bCs/>
          <w:sz w:val="24"/>
          <w:szCs w:val="24"/>
          <w:highlight w:val="none"/>
        </w:rPr>
        <w:t>。投资者签署</w:t>
      </w:r>
      <w:r>
        <w:rPr>
          <w:rFonts w:hint="eastAsia" w:ascii="宋体" w:hAnsi="宋体" w:cs="宋体"/>
          <w:bCs/>
          <w:sz w:val="24"/>
          <w:highlight w:val="none"/>
        </w:rPr>
        <w:t>后</w:t>
      </w:r>
      <w:r>
        <w:rPr>
          <w:rFonts w:hint="eastAsia" w:ascii="宋体" w:hAnsi="宋体" w:cs="宋体"/>
          <w:bCs/>
          <w:sz w:val="24"/>
          <w:szCs w:val="24"/>
          <w:highlight w:val="none"/>
        </w:rPr>
        <w:t>即表示同意并配合提供前述信</w:t>
      </w:r>
      <w:r>
        <w:rPr>
          <w:rFonts w:hint="eastAsia" w:ascii="宋体" w:hAnsi="宋体" w:cs="宋体"/>
          <w:bCs/>
          <w:sz w:val="24"/>
          <w:highlight w:val="none"/>
        </w:rPr>
        <w:t>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spacing w:line="360" w:lineRule="auto"/>
        <w:jc w:val="both"/>
        <w:rPr>
          <w:rFonts w:hint="eastAsia" w:ascii="宋体" w:hAnsi="宋体" w:cs="宋体"/>
          <w:bCs/>
          <w:sz w:val="24"/>
          <w:highlight w:val="none"/>
        </w:rPr>
      </w:pPr>
    </w:p>
    <w:p>
      <w:pPr>
        <w:pStyle w:val="16"/>
        <w:spacing w:line="360" w:lineRule="auto"/>
        <w:jc w:val="both"/>
        <w:rPr>
          <w:rFonts w:hint="eastAsia" w:ascii="宋体" w:hAnsi="宋体" w:cs="宋体"/>
          <w:b/>
          <w:color w:val="auto"/>
          <w:highlight w:val="none"/>
        </w:rPr>
      </w:pPr>
    </w:p>
    <w:p>
      <w:pPr>
        <w:pStyle w:val="16"/>
        <w:spacing w:line="360" w:lineRule="auto"/>
        <w:ind w:firstLine="482" w:firstLineChars="200"/>
        <w:jc w:val="center"/>
        <w:outlineLvl w:val="1"/>
        <w:rPr>
          <w:rFonts w:hint="eastAsia" w:ascii="宋体" w:hAnsi="宋体" w:cs="宋体"/>
          <w:b/>
          <w:color w:val="auto"/>
          <w:highlight w:val="none"/>
        </w:rPr>
      </w:pPr>
    </w:p>
    <w:p>
      <w:pPr>
        <w:pStyle w:val="16"/>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t>投资者确认栏（个人投资者填写）</w:t>
      </w:r>
    </w:p>
    <w:p>
      <w:pPr>
        <w:pStyle w:val="16"/>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6"/>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6"/>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6"/>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6"/>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6"/>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6"/>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rPr>
          <w:rFonts w:hint="eastAsia" w:ascii="宋体" w:hAnsi="宋体" w:eastAsia="宋体" w:cs="宋体"/>
          <w:b/>
          <w:bCs/>
          <w:color w:val="auto"/>
          <w:highlight w:val="none"/>
          <w:u w:val="none"/>
        </w:rPr>
      </w:pPr>
    </w:p>
    <w:p>
      <w:pPr>
        <w:pStyle w:val="16"/>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投资者确认栏（机构投资者）</w:t>
      </w:r>
    </w:p>
    <w:p>
      <w:pPr>
        <w:pStyle w:val="16"/>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6"/>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6"/>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6"/>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6"/>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半年添益2001期理财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〖Z70022210001</w:t>
      </w:r>
      <w:r>
        <w:rPr>
          <w:rFonts w:hint="eastAsia" w:ascii="宋体" w:hAnsi="宋体" w:cs="宋体"/>
          <w:bCs/>
          <w:sz w:val="24"/>
          <w:highlight w:val="none"/>
          <w:lang w:val="en-US" w:eastAsia="zh-CN"/>
        </w:rPr>
        <w:t>70</w:t>
      </w:r>
      <w:r>
        <w:rPr>
          <w:rFonts w:hint="eastAsia" w:ascii="宋体" w:hAnsi="宋体" w:cs="宋体"/>
          <w:bCs/>
          <w:sz w:val="24"/>
          <w:highlight w:val="none"/>
        </w:rPr>
        <w:t>〗</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rPr>
        <w:t>。</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6"/>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sz w:val="24"/>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半年添益2001期理财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半年添益2001期理财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半年添益2001期理财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半年添益2001期理财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半年添益2001期理财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6"/>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《理财计划销售协议书》五</w:t>
      </w:r>
      <w:r>
        <w:rPr>
          <w:rFonts w:hint="eastAsia" w:ascii="宋体" w:hAnsi="宋体" w:cs="宋体"/>
          <w:bCs/>
          <w:color w:val="auto"/>
          <w:kern w:val="2"/>
          <w:highlight w:val="none"/>
        </w:rPr>
        <w:t>个部分。</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半年添益2001期理财</w:t>
      </w:r>
      <w:r>
        <w:rPr>
          <w:rFonts w:hint="eastAsia" w:ascii="宋体" w:hAnsi="宋体" w:cs="宋体"/>
          <w:bCs/>
          <w:highlight w:val="none"/>
        </w:rPr>
        <w:t>。</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6"/>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6"/>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6"/>
        <w:numPr>
          <w:ilvl w:val="0"/>
          <w:numId w:val="15"/>
        </w:numPr>
        <w:adjustRightInd/>
        <w:spacing w:line="360" w:lineRule="auto"/>
        <w:ind w:left="0"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6"/>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6"/>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6"/>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6"/>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6"/>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6"/>
        <w:numPr>
          <w:ilvl w:val="0"/>
          <w:numId w:val="0"/>
        </w:numPr>
        <w:adjustRightInd/>
        <w:spacing w:line="360" w:lineRule="auto"/>
        <w:rPr>
          <w:rFonts w:hint="eastAsia" w:ascii="宋体" w:hAnsi="宋体" w:cs="宋体"/>
          <w:b/>
          <w:color w:val="auto"/>
          <w:kern w:val="2"/>
          <w:highlight w:val="none"/>
        </w:rPr>
      </w:pPr>
    </w:p>
    <w:p>
      <w:pPr>
        <w:pStyle w:val="16"/>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6"/>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6"/>
        <w:adjustRightInd/>
        <w:spacing w:line="360" w:lineRule="auto"/>
        <w:rPr>
          <w:rFonts w:hint="eastAsia" w:ascii="宋体" w:hAnsi="宋体" w:cs="宋体"/>
          <w:b/>
          <w:color w:val="auto"/>
          <w:kern w:val="2"/>
          <w:highlight w:val="none"/>
        </w:rPr>
      </w:pPr>
    </w:p>
    <w:p>
      <w:pPr>
        <w:pStyle w:val="16"/>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半年添益2001期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半年添益2001期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TYG6M2001</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本理财计划在全国银行业理财信息登记系统的原登记编码是〖C1092020000008〗</w:t>
            </w:r>
            <w:r>
              <w:rPr>
                <w:rFonts w:hint="eastAsia" w:ascii="宋体" w:hAnsi="宋体" w:cs="宋体"/>
                <w:color w:val="000000"/>
                <w:kern w:val="0"/>
                <w:highlight w:val="none"/>
              </w:rPr>
              <w:t>，</w:t>
            </w:r>
            <w:r>
              <w:rPr>
                <w:rFonts w:hint="eastAsia" w:ascii="宋体" w:hAnsi="宋体" w:cs="宋体"/>
                <w:color w:val="000000"/>
                <w:sz w:val="21"/>
                <w:szCs w:val="21"/>
                <w:highlight w:val="none"/>
              </w:rPr>
              <w:t>变更登记后为〖Z70022210001</w:t>
            </w:r>
            <w:r>
              <w:rPr>
                <w:rFonts w:hint="eastAsia" w:ascii="宋体" w:hAnsi="宋体" w:cs="宋体"/>
                <w:color w:val="000000"/>
                <w:sz w:val="21"/>
                <w:szCs w:val="21"/>
                <w:highlight w:val="none"/>
                <w:lang w:val="en-US" w:eastAsia="zh-CN"/>
              </w:rPr>
              <w:t>70</w:t>
            </w:r>
            <w:r>
              <w:rPr>
                <w:rFonts w:hint="eastAsia" w:ascii="宋体" w:hAnsi="宋体" w:cs="宋体"/>
                <w:color w:val="000000"/>
                <w:sz w:val="21"/>
                <w:szCs w:val="21"/>
                <w:highlight w:val="none"/>
              </w:rPr>
              <w:t>〗，投资者可依据该编码在“中国理财网（www.chinawealth.com.cn）”查询本理财计划信息。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Cs/>
                <w:color w:val="auto"/>
                <w:kern w:val="2"/>
                <w:sz w:val="21"/>
                <w:szCs w:val="21"/>
                <w:highlight w:val="none"/>
                <w:lang w:eastAsia="zh-CN"/>
              </w:rPr>
            </w:pPr>
            <w:r>
              <w:rPr>
                <w:rFonts w:hint="eastAsia" w:ascii="宋体" w:hAnsi="宋体" w:cs="宋体"/>
                <w:color w:val="000000"/>
                <w:sz w:val="21"/>
                <w:szCs w:val="21"/>
                <w:highlight w:val="none"/>
              </w:rPr>
              <w:t>本理财计划适合</w:t>
            </w:r>
            <w:r>
              <w:rPr>
                <w:rFonts w:hint="eastAsia" w:ascii="宋体" w:hAnsi="宋体" w:cs="宋体"/>
                <w:b/>
                <w:sz w:val="21"/>
                <w:szCs w:val="21"/>
                <w:highlight w:val="none"/>
              </w:rPr>
              <w:t>〖</w:t>
            </w:r>
            <w:r>
              <w:rPr>
                <w:rFonts w:hint="eastAsia" w:ascii="宋体" w:hAnsi="宋体" w:cs="宋体"/>
                <w:b/>
                <w:color w:val="000000"/>
                <w:sz w:val="21"/>
                <w:szCs w:val="21"/>
                <w:highlight w:val="none"/>
              </w:rPr>
              <w:t>机构投资者</w:t>
            </w:r>
            <w:r>
              <w:rPr>
                <w:rFonts w:hint="eastAsia" w:ascii="宋体" w:hAnsi="宋体" w:cs="宋体"/>
                <w:b/>
                <w:sz w:val="21"/>
                <w:szCs w:val="21"/>
                <w:highlight w:val="none"/>
              </w:rPr>
              <w:t>〗</w:t>
            </w:r>
            <w:r>
              <w:rPr>
                <w:rFonts w:hint="eastAsia" w:ascii="宋体" w:hAnsi="宋体" w:cs="宋体"/>
                <w:b/>
                <w:color w:val="000000"/>
                <w:sz w:val="21"/>
                <w:szCs w:val="21"/>
                <w:highlight w:val="none"/>
              </w:rPr>
              <w:t>以及</w:t>
            </w:r>
            <w:r>
              <w:rPr>
                <w:rFonts w:hint="eastAsia" w:ascii="宋体" w:hAnsi="宋体" w:cs="宋体"/>
                <w:b/>
                <w:sz w:val="21"/>
                <w:szCs w:val="21"/>
                <w:highlight w:val="none"/>
              </w:rPr>
              <w:t>〖稳健型、平衡型、成长型、进取型〗</w:t>
            </w:r>
            <w:r>
              <w:rPr>
                <w:rFonts w:hint="eastAsia" w:ascii="宋体" w:hAnsi="宋体" w:cs="宋体"/>
                <w:b/>
                <w:color w:val="000000"/>
                <w:sz w:val="21"/>
                <w:szCs w:val="21"/>
                <w:highlight w:val="none"/>
              </w:rPr>
              <w:t>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A份额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TYG6M2001</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default" w:ascii="宋体" w:hAnsi="宋体" w:cs="宋体"/>
                <w:bCs/>
                <w:color w:val="auto"/>
                <w:kern w:val="2"/>
                <w:sz w:val="21"/>
                <w:szCs w:val="21"/>
                <w:highlight w:val="none"/>
                <w:lang w:val="en-US" w:eastAsia="zh-CN"/>
              </w:rPr>
            </w:pPr>
            <w:r>
              <w:rPr>
                <w:rFonts w:hint="eastAsia" w:ascii="宋体" w:hAnsi="宋体" w:cs="宋体"/>
                <w:color w:val="auto"/>
                <w:sz w:val="21"/>
                <w:szCs w:val="21"/>
                <w:highlight w:val="none"/>
                <w:lang w:val="en-US" w:eastAsia="zh-CN"/>
              </w:rPr>
              <w:t>W份额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TYG6M2001W</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固定收益类</w:t>
            </w:r>
            <w:r>
              <w:rPr>
                <w:rFonts w:hint="eastAsia" w:ascii="宋体" w:hAnsi="宋体" w:cs="宋体"/>
                <w:sz w:val="21"/>
                <w:szCs w:val="21"/>
                <w:highlight w:val="none"/>
              </w:rPr>
              <w:t>〗</w:t>
            </w:r>
            <w:r>
              <w:rPr>
                <w:rFonts w:hint="eastAsia" w:ascii="宋体" w:hAnsi="宋体" w:cs="宋体"/>
                <w:color w:val="000000"/>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否</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全国</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可通过</w:t>
            </w:r>
            <w:r>
              <w:rPr>
                <w:rFonts w:hint="eastAsia" w:ascii="宋体" w:hAnsi="宋体" w:cs="宋体"/>
                <w:color w:val="000000"/>
                <w:sz w:val="21"/>
                <w:szCs w:val="21"/>
                <w:highlight w:val="none"/>
                <w:lang w:eastAsia="zh-CN"/>
              </w:rPr>
              <w:t>杭银理财直销渠道和代理</w:t>
            </w:r>
            <w:r>
              <w:rPr>
                <w:rFonts w:hint="eastAsia" w:ascii="宋体" w:hAnsi="宋体" w:cs="宋体"/>
                <w:color w:val="000000"/>
                <w:sz w:val="21"/>
                <w:szCs w:val="21"/>
                <w:highlight w:val="none"/>
              </w:rPr>
              <w:t>销售机构的</w:t>
            </w:r>
            <w:r>
              <w:rPr>
                <w:rFonts w:hint="eastAsia" w:ascii="宋体" w:hAnsi="宋体" w:cs="宋体"/>
                <w:sz w:val="21"/>
                <w:szCs w:val="21"/>
                <w:highlight w:val="none"/>
              </w:rPr>
              <w:t>〖</w:t>
            </w:r>
            <w:r>
              <w:rPr>
                <w:rFonts w:hint="eastAsia" w:ascii="宋体" w:hAnsi="宋体" w:cs="宋体"/>
                <w:color w:val="000000"/>
                <w:sz w:val="21"/>
                <w:szCs w:val="21"/>
                <w:highlight w:val="none"/>
              </w:rPr>
              <w:t>营业网点、网上银行、手机银行</w:t>
            </w:r>
            <w:r>
              <w:rPr>
                <w:rFonts w:hint="eastAsia" w:ascii="宋体" w:hAnsi="宋体" w:cs="宋体"/>
                <w:sz w:val="21"/>
                <w:szCs w:val="21"/>
                <w:highlight w:val="none"/>
              </w:rPr>
              <w:t>〗</w:t>
            </w:r>
            <w:r>
              <w:rPr>
                <w:rFonts w:hint="eastAsia" w:ascii="宋体" w:hAnsi="宋体" w:cs="宋体"/>
                <w:color w:val="000000"/>
                <w:sz w:val="21"/>
                <w:szCs w:val="21"/>
                <w:highlight w:val="none"/>
              </w:rPr>
              <w:t>等渠道购买</w:t>
            </w:r>
            <w:r>
              <w:rPr>
                <w:rFonts w:hint="eastAsia" w:ascii="宋体" w:hAnsi="宋体" w:cs="宋体"/>
                <w:color w:val="000000"/>
                <w:sz w:val="21"/>
                <w:szCs w:val="21"/>
                <w:highlight w:val="none"/>
                <w:lang w:eastAsia="zh-CN"/>
              </w:rPr>
              <w:t>，通过</w:t>
            </w:r>
            <w:r>
              <w:rPr>
                <w:rFonts w:hint="eastAsia" w:ascii="宋体" w:hAnsi="宋体" w:cs="宋体"/>
                <w:color w:val="000000"/>
                <w:sz w:val="21"/>
                <w:szCs w:val="21"/>
                <w:highlight w:val="none"/>
                <w:lang w:val="en-US" w:eastAsia="zh-CN"/>
              </w:rPr>
              <w:t>代理销售机构购买的，具体销售渠道以代理销售机构披露为准</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人民币</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100</w:t>
            </w:r>
            <w:r>
              <w:rPr>
                <w:rFonts w:hint="eastAsia" w:ascii="宋体" w:hAnsi="宋体" w:cs="宋体"/>
                <w:color w:val="000000"/>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7</w:t>
            </w:r>
            <w:r>
              <w:rPr>
                <w:rFonts w:hint="eastAsia" w:ascii="宋体" w:hAnsi="宋体" w:cs="宋体"/>
                <w:color w:val="000000"/>
                <w:sz w:val="21"/>
                <w:szCs w:val="21"/>
                <w:highlight w:val="none"/>
              </w:rPr>
              <w:t>〗日</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认购期首日〖9：00〗至认购结束日〖17：00〗</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8</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highlight w:val="none"/>
              </w:rPr>
              <w:t>〖</w:t>
            </w:r>
            <w:r>
              <w:rPr>
                <w:rFonts w:hint="eastAsia" w:ascii="宋体" w:hAnsi="宋体" w:cs="宋体"/>
                <w:sz w:val="21"/>
                <w:szCs w:val="21"/>
                <w:highlight w:val="none"/>
                <w:lang w:val="en-US" w:eastAsia="zh-CN"/>
              </w:rPr>
              <w:t>2000</w:t>
            </w:r>
            <w:r>
              <w:rPr>
                <w:rFonts w:hint="eastAsia" w:ascii="宋体" w:hAnsi="宋体" w:cs="宋体"/>
                <w:sz w:val="21"/>
                <w:szCs w:val="21"/>
                <w:highlight w:val="none"/>
              </w:rPr>
              <w:t>〗</w:t>
            </w:r>
            <w:r>
              <w:rPr>
                <w:rFonts w:hint="eastAsia" w:ascii="宋体" w:hAnsi="宋体" w:cs="宋体"/>
                <w:color w:val="000000"/>
                <w:sz w:val="21"/>
                <w:szCs w:val="21"/>
                <w:highlight w:val="none"/>
              </w:rPr>
              <w:t>万元，则管理人可宣布本理财计划不成立并在原定理财计划成立日</w:t>
            </w:r>
            <w:r>
              <w:rPr>
                <w:rFonts w:hint="eastAsia" w:ascii="宋体" w:hAnsi="宋体" w:cs="宋体"/>
                <w:color w:val="000000"/>
                <w:sz w:val="21"/>
                <w:szCs w:val="21"/>
                <w:highlight w:val="none"/>
                <w:lang w:val="en-US" w:eastAsia="zh-CN"/>
              </w:rPr>
              <w:t>当日</w:t>
            </w:r>
            <w:r>
              <w:rPr>
                <w:rFonts w:hint="eastAsia" w:ascii="宋体" w:hAnsi="宋体" w:cs="宋体"/>
                <w:color w:val="000000"/>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000000"/>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理财计划</w:t>
            </w:r>
            <w:r>
              <w:rPr>
                <w:rFonts w:hint="eastAsia" w:ascii="宋体" w:hAnsi="宋体" w:cs="宋体"/>
                <w:sz w:val="21"/>
                <w:szCs w:val="21"/>
                <w:highlight w:val="none"/>
                <w:lang w:val="en-US" w:eastAsia="zh-CN"/>
              </w:rPr>
              <w:t>〖每半年〗开放一次,具体开放期将以管理人公告为准。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1.本理财计划在每个开放期的开放日工作时间均可进行申购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申请将在确认日，即开放期后的第</w:t>
            </w:r>
            <w:r>
              <w:rPr>
                <w:rFonts w:hint="eastAsia" w:ascii="宋体" w:hAnsi="宋体" w:cs="宋体"/>
                <w:sz w:val="21"/>
                <w:szCs w:val="21"/>
                <w:highlight w:val="none"/>
              </w:rPr>
              <w:t>〖1〗个</w:t>
            </w:r>
            <w:r>
              <w:rPr>
                <w:rFonts w:hint="eastAsia" w:ascii="宋体" w:hAnsi="宋体" w:cs="宋体"/>
                <w:bCs/>
                <w:sz w:val="21"/>
                <w:szCs w:val="21"/>
                <w:highlight w:val="none"/>
              </w:rPr>
              <w:t>工作日进行确认。</w:t>
            </w:r>
            <w:r>
              <w:rPr>
                <w:rFonts w:hint="eastAsia" w:ascii="宋体" w:hAnsi="宋体" w:cs="宋体"/>
                <w:color w:val="000000"/>
                <w:sz w:val="21"/>
                <w:szCs w:val="21"/>
                <w:highlight w:val="none"/>
              </w:rPr>
              <w:t>确认日如遇非工作日，则顺延至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下一工作日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.工作时间为每个工作日上午〖9:00〗至下午〖17:00〗。确认日如遇非工作日，则顺延至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下一工作日</w:t>
            </w:r>
            <w:r>
              <w:rPr>
                <w:rFonts w:hint="eastAsia" w:ascii="宋体" w:hAnsi="宋体" w:cs="宋体"/>
                <w:sz w:val="21"/>
                <w:szCs w:val="21"/>
                <w:highlight w:val="none"/>
              </w:rPr>
              <w:t>〗</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认购/开放期内提交的交易申请，在产品成立日/确认日前一日下午17:00之前可以撤单。</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p>
            <w:pPr>
              <w:widowControl/>
              <w:spacing w:line="360" w:lineRule="auto"/>
              <w:contextualSpacing/>
              <w:rPr>
                <w:rFonts w:hint="default" w:ascii="宋体" w:hAnsi="宋体" w:cs="宋体"/>
                <w:bCs/>
                <w:color w:val="auto"/>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单户最高存续份额为〖</w:t>
            </w:r>
            <w:r>
              <w:rPr>
                <w:rFonts w:hint="eastAsia" w:ascii="宋体" w:hAnsi="宋体" w:cs="宋体"/>
                <w:sz w:val="21"/>
                <w:szCs w:val="21"/>
                <w:highlight w:val="none"/>
                <w:lang w:val="en-US" w:eastAsia="zh-CN"/>
              </w:rPr>
              <w:t>1</w:t>
            </w:r>
            <w:r>
              <w:rPr>
                <w:rFonts w:hint="eastAsia" w:ascii="宋体" w:hAnsi="宋体" w:cs="宋体"/>
                <w:sz w:val="21"/>
                <w:szCs w:val="21"/>
                <w:highlight w:val="none"/>
              </w:rPr>
              <w:t>亿份〗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单位净值=理财计划估值日理财计划总净值/理财计划总份额，单位净值</w:t>
            </w:r>
            <w:r>
              <w:rPr>
                <w:rFonts w:hint="eastAsia" w:ascii="宋体" w:hAnsi="宋体" w:cs="宋体"/>
                <w:sz w:val="21"/>
                <w:szCs w:val="21"/>
                <w:highlight w:val="none"/>
              </w:rPr>
              <w:t>〖</w:t>
            </w:r>
            <w:r>
              <w:rPr>
                <w:rFonts w:hint="eastAsia" w:ascii="宋体" w:hAnsi="宋体" w:cs="宋体"/>
                <w:color w:val="000000"/>
                <w:sz w:val="21"/>
                <w:szCs w:val="21"/>
                <w:highlight w:val="none"/>
              </w:rPr>
              <w:t>保留小数点后</w:t>
            </w:r>
            <w:r>
              <w:rPr>
                <w:rFonts w:hint="eastAsia" w:ascii="宋体" w:hAnsi="宋体" w:cs="宋体"/>
                <w:color w:val="000000"/>
                <w:sz w:val="21"/>
                <w:szCs w:val="21"/>
                <w:highlight w:val="none"/>
                <w:lang w:val="en-US" w:eastAsia="zh-CN"/>
              </w:rPr>
              <w:t>四</w:t>
            </w:r>
            <w:r>
              <w:rPr>
                <w:rFonts w:hint="eastAsia" w:ascii="宋体" w:hAnsi="宋体" w:cs="宋体"/>
                <w:color w:val="000000"/>
                <w:sz w:val="21"/>
                <w:szCs w:val="21"/>
                <w:highlight w:val="none"/>
              </w:rPr>
              <w:t>位</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四位后去尾</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理财计划总净值=理财计划认购总额+理财计划所获总收益-理财计划总费用（包括但不限于</w:t>
            </w:r>
            <w:r>
              <w:rPr>
                <w:rFonts w:hint="eastAsia" w:ascii="宋体" w:hAnsi="宋体" w:cs="宋体"/>
                <w:color w:val="000000"/>
                <w:sz w:val="21"/>
                <w:szCs w:val="21"/>
                <w:highlight w:val="none"/>
                <w:lang w:val="en-US" w:eastAsia="zh-CN"/>
              </w:rPr>
              <w:t>固定</w:t>
            </w:r>
            <w:r>
              <w:rPr>
                <w:rFonts w:hint="eastAsia" w:ascii="宋体" w:hAnsi="宋体" w:cs="宋体"/>
                <w:color w:val="000000"/>
                <w:sz w:val="21"/>
                <w:szCs w:val="21"/>
                <w:highlight w:val="none"/>
              </w:rPr>
              <w:t>管理费、托管费、</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lang w:val="en-US" w:eastAsia="zh-CN"/>
              </w:rPr>
              <w:t>浮动管理费（如有）</w:t>
            </w:r>
            <w:r>
              <w:rPr>
                <w:rFonts w:hint="eastAsia" w:ascii="宋体" w:hAnsi="宋体" w:cs="宋体"/>
                <w:color w:val="000000"/>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1.赎回资金确认后，最快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2.理财计划到期后，最快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2.10%-3.10%</w:t>
            </w:r>
            <w:r>
              <w:rPr>
                <w:rFonts w:hint="eastAsia" w:ascii="宋体" w:hAnsi="宋体" w:cs="宋体"/>
                <w:sz w:val="21"/>
                <w:szCs w:val="21"/>
                <w:highlight w:val="none"/>
              </w:rPr>
              <w:t>〗（年化）。</w:t>
            </w:r>
          </w:p>
          <w:p>
            <w:pPr>
              <w:widowControl/>
              <w:spacing w:line="360" w:lineRule="auto"/>
              <w:contextualSpacing/>
              <w:rPr>
                <w:rFonts w:hint="eastAsia" w:ascii="宋体" w:hAnsi="宋体" w:eastAsia="宋体" w:cs="宋体"/>
                <w:sz w:val="21"/>
                <w:szCs w:val="21"/>
                <w:highlight w:val="none"/>
                <w:lang w:val="en-US" w:eastAsia="zh-CN"/>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W份额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2.10%-3.10%</w:t>
            </w:r>
            <w:r>
              <w:rPr>
                <w:rFonts w:hint="eastAsia" w:ascii="宋体" w:hAnsi="宋体" w:cs="宋体"/>
                <w:sz w:val="21"/>
                <w:szCs w:val="21"/>
                <w:highlight w:val="none"/>
              </w:rPr>
              <w:t>〗（年化）。</w:t>
            </w:r>
          </w:p>
          <w:p>
            <w:pPr>
              <w:widowControl/>
              <w:spacing w:line="360" w:lineRule="auto"/>
              <w:jc w:val="left"/>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本理财计划业绩比较基准由管理人根据投资范围及投资策略，结合市场环境因素进行测算而得出。业绩比较基准是管理人基于理财计划收益风险特征、投资策略、过往经验等因素对理财计划业绩设定的投资目标。本公司提醒投资者关注，业绩比较基准不是预期收益率</w:t>
            </w:r>
            <w:r>
              <w:rPr>
                <w:rFonts w:hint="eastAsia" w:ascii="宋体" w:hAnsi="宋体" w:cs="宋体"/>
                <w:b/>
                <w:sz w:val="21"/>
                <w:szCs w:val="21"/>
                <w:highlight w:val="none"/>
                <w:lang w:eastAsia="zh-CN"/>
              </w:rPr>
              <w:t>，</w:t>
            </w:r>
            <w:r>
              <w:rPr>
                <w:rFonts w:hint="eastAsia" w:ascii="宋体" w:hAnsi="宋体" w:cs="宋体"/>
                <w:b/>
                <w:sz w:val="21"/>
                <w:szCs w:val="21"/>
                <w:highlight w:val="none"/>
              </w:rPr>
              <w:t>业绩比较基准并不代表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numPr>
                <w:ilvl w:val="0"/>
                <w:numId w:val="0"/>
              </w:numPr>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000000"/>
                <w:sz w:val="21"/>
                <w:szCs w:val="21"/>
                <w:highlight w:val="none"/>
              </w:rPr>
              <w:t>3.固定管理费：</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7.浮动管理费。管理人根据理财计划投资情况计算浮动管理费，本理财计划投资周期的</w:t>
            </w:r>
            <w:r>
              <w:rPr>
                <w:rFonts w:hint="eastAsia" w:ascii="宋体" w:hAnsi="宋体" w:cs="宋体"/>
                <w:sz w:val="21"/>
                <w:szCs w:val="21"/>
                <w:highlight w:val="none"/>
              </w:rPr>
              <w:t>〖</w:t>
            </w:r>
            <w:r>
              <w:rPr>
                <w:rFonts w:hint="eastAsia" w:ascii="宋体" w:hAnsi="宋体" w:cs="宋体"/>
                <w:color w:val="000000"/>
                <w:sz w:val="21"/>
                <w:szCs w:val="21"/>
                <w:highlight w:val="none"/>
              </w:rPr>
              <w:t>折合年化收益率超过</w:t>
            </w:r>
            <w:r>
              <w:rPr>
                <w:rFonts w:hint="eastAsia" w:ascii="宋体" w:hAnsi="宋体" w:cs="宋体"/>
                <w:color w:val="000000"/>
                <w:sz w:val="21"/>
                <w:szCs w:val="21"/>
                <w:highlight w:val="none"/>
                <w:lang w:val="en-US" w:eastAsia="zh-CN"/>
              </w:rPr>
              <w:t>业绩比较基准上限</w:t>
            </w:r>
            <w:r>
              <w:rPr>
                <w:rFonts w:hint="eastAsia" w:ascii="宋体" w:hAnsi="宋体" w:cs="宋体"/>
                <w:sz w:val="21"/>
                <w:szCs w:val="21"/>
                <w:highlight w:val="none"/>
              </w:rPr>
              <w:t>〗</w:t>
            </w:r>
            <w:r>
              <w:rPr>
                <w:rFonts w:hint="eastAsia" w:ascii="宋体" w:hAnsi="宋体" w:cs="宋体"/>
                <w:color w:val="000000"/>
                <w:sz w:val="21"/>
                <w:szCs w:val="21"/>
                <w:highlight w:val="none"/>
              </w:rPr>
              <w:t>的部分,</w:t>
            </w:r>
            <w:r>
              <w:rPr>
                <w:rFonts w:hint="eastAsia" w:ascii="宋体" w:hAnsi="宋体" w:cs="宋体"/>
                <w:b/>
                <w:color w:val="000000"/>
                <w:sz w:val="21"/>
                <w:szCs w:val="21"/>
                <w:highlight w:val="none"/>
              </w:rPr>
              <w:t>管理人提取</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50</w:t>
            </w:r>
            <w:r>
              <w:rPr>
                <w:rFonts w:hint="eastAsia" w:ascii="宋体" w:hAnsi="宋体" w:cs="宋体"/>
                <w:b/>
                <w:bCs/>
                <w:sz w:val="21"/>
                <w:szCs w:val="21"/>
                <w:highlight w:val="none"/>
              </w:rPr>
              <w:t>%〗</w:t>
            </w:r>
            <w:r>
              <w:rPr>
                <w:rFonts w:hint="eastAsia" w:ascii="宋体" w:hAnsi="宋体" w:cs="宋体"/>
                <w:b/>
                <w:color w:val="000000"/>
                <w:sz w:val="21"/>
                <w:szCs w:val="21"/>
                <w:highlight w:val="none"/>
              </w:rPr>
              <w:t>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认购期内按照活期存款利率计息，认购期内的利息不计入认购本金份额。到期日（或理财计划实际终止日）到理财资金返还到账日为还本清算期，还本清算期内不计付利息。</w:t>
            </w:r>
            <w:r>
              <w:rPr>
                <w:rFonts w:hint="eastAsia" w:ascii="宋体" w:hAnsi="宋体" w:cs="宋体"/>
                <w:color w:val="000000"/>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9"/>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固定收益类资产：包括但不限于各类债券、存款、货币市场金融工具、债券基金、质押式及买断式回购，其他符合监管要求的固定收益类资产及资产管理产品。</w:t>
      </w:r>
    </w:p>
    <w:p>
      <w:pPr>
        <w:numPr>
          <w:ilvl w:val="0"/>
          <w:numId w:val="2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86" w:type="dxa"/>
            <w:noWrap w:val="0"/>
            <w:vAlign w:val="top"/>
          </w:tcPr>
          <w:p>
            <w:pPr>
              <w:spacing w:line="360" w:lineRule="auto"/>
              <w:jc w:val="center"/>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6"/>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2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leftChars="0"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2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本理财计划直接投资于流动性受限资产的市值在开放日不得超过该理财计划资产净值的15%。</w:t>
      </w:r>
    </w:p>
    <w:p>
      <w:pPr>
        <w:numPr>
          <w:ilvl w:val="0"/>
          <w:numId w:val="25"/>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25"/>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5"/>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6"/>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0"/>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其他类资产的可能流动性风险（如有）：权益类、其他类资产包括但不限于上市公司普通股、上市公司优先股、股票基金、股票定向增发等，受国家政策、经济周期、利率、汇率、股票发行人经营情况、大宗商品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9"/>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托管人名称</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托管人住所</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托管人职责</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主要提供包括账户开立、资金保管、资金结算、估值核对等理财产品托管服务。</w:t>
            </w:r>
          </w:p>
        </w:tc>
      </w:tr>
    </w:tbl>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30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88"/>
        <w:gridCol w:w="1325"/>
        <w:gridCol w:w="3875"/>
      </w:tblGrid>
      <w:tr>
        <w:tblPrEx>
          <w:tblLayout w:type="fixed"/>
          <w:tblCellMar>
            <w:top w:w="0" w:type="dxa"/>
            <w:left w:w="108" w:type="dxa"/>
            <w:bottom w:w="0" w:type="dxa"/>
            <w:right w:w="108" w:type="dxa"/>
          </w:tblCellMar>
        </w:tblPrEx>
        <w:trPr>
          <w:trHeight w:val="340" w:hRule="atLeast"/>
        </w:trPr>
        <w:tc>
          <w:tcPr>
            <w:tcW w:w="1418" w:type="dxa"/>
            <w:vMerge w:val="restart"/>
            <w:noWrap w:val="0"/>
            <w:vAlign w:val="center"/>
          </w:tcPr>
          <w:p>
            <w:pPr>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销售机构</w:t>
            </w:r>
            <w:r>
              <w:rPr>
                <w:rFonts w:hint="eastAsia" w:ascii="宋体" w:hAnsi="宋体" w:eastAsia="宋体" w:cs="宋体"/>
                <w:bCs/>
                <w:sz w:val="21"/>
                <w:szCs w:val="21"/>
                <w:highlight w:val="none"/>
                <w:lang w:val="en-US" w:eastAsia="zh-CN"/>
              </w:rPr>
              <w:t>信息</w:t>
            </w: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400-1623-623</w:t>
            </w:r>
          </w:p>
        </w:tc>
      </w:tr>
      <w:tr>
        <w:tblPrEx>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aps w:val="0"/>
                <w:color w:val="000000"/>
                <w:spacing w:val="0"/>
                <w:kern w:val="0"/>
                <w:sz w:val="21"/>
                <w:szCs w:val="21"/>
                <w:u w:val="none"/>
                <w:lang w:bidi="ar"/>
              </w:rPr>
              <w:t>江苏苏商银行股份有限公司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aps w:val="0"/>
                <w:color w:val="000000"/>
                <w:spacing w:val="0"/>
                <w:kern w:val="0"/>
                <w:sz w:val="21"/>
                <w:szCs w:val="21"/>
                <w:u w:val="none"/>
                <w:lang w:bidi="ar"/>
              </w:rPr>
              <w:t>956101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广东南粤银行股份有限公司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东莞银行股份有限公司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日照银行股份有限公司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苏州银行股份有限公司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杭银理财有限责任公司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澳门国际银行股份有限公司广州分行</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江苏常熟农村商业银行股份有限公司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九江银行股份有限公司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江西省九江市濂溪区长虹大道619号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浙江舟山定海海洋农村商业银行股份有限公司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浙江省舟山市定海区环城东路81号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0580-2030956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浙江临安农村商业银行股份有限公司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浙江青田农村商业银行股份有限公司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南洋商业银行（中国）有限公司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上海市浦明路898号13层至16层、18层至20层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中邮邮惠万家银行有限责任公司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cs="宋体"/>
                <w:i w:val="0"/>
                <w:color w:val="000000"/>
                <w:kern w:val="0"/>
                <w:sz w:val="21"/>
                <w:szCs w:val="21"/>
                <w:u w:val="none"/>
                <w:lang w:val="en-US" w:eastAsia="zh-CN" w:bidi="ar"/>
              </w:rPr>
              <w:t>95504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温州银行股份有限公司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浙江省温州市鹿城区会展路1316号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0577-96699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浙江新昌农村商业银行股份有限公司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浙江省新昌县七星街道七星路18号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浙江省永嘉县瓯北镇阳光大道3918号永嘉农商银行总行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4008057705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浙江永康农村商业银行股份有限公司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浙江省永康市九铃东路3259号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绍兴银行股份有限公司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浙江省绍兴市越城区中兴南路1号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4000896528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浙江衢州衢江农村商业银行股份有限公司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浙江省衢州市衢江区信安东路37号衢江农商银行6楼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0570-3026608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新韩银行（中国）有限公司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北京市朝阳区工体北路甲6号中宇大厦12层，11层1101，1102及1109单元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400 6688 600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浙江开化县芹阳办事处永吉二路8号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0570-6025125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秦皇岛银行股份有限公司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河北省秦皇岛市海港区河北大街西段560号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0335-96336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潍坊银行股份有限公司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山东省潍坊市胜利东街5139号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400-61-96588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浙江江山农村商业银行股份有限公司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浙江省江山市江滨路188号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浙江常山农村商业银行股份有限公司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浙江省衢州市常山县紫港街道文教东路258号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浙江武义农村商业银行股份有限公司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浙江省金华市武义县武阳中路37号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0579-87663486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jc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浙江网商银行股份有限公司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浙江省杭州市西湖区古荡街道西溪路556号阿里中心D幢9层、E幢3-8层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0571-26888888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noWrap w:val="0"/>
            <w:vAlign w:val="center"/>
          </w:tcPr>
          <w:p>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销售机构职责</w:t>
            </w:r>
          </w:p>
        </w:tc>
        <w:tc>
          <w:tcPr>
            <w:tcW w:w="6888" w:type="dxa"/>
            <w:gridSpan w:val="3"/>
            <w:noWrap w:val="0"/>
            <w:vAlign w:val="center"/>
          </w:tcPr>
          <w:p>
            <w:pPr>
              <w:spacing w:line="240" w:lineRule="auto"/>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主要负责理财计划推广、投资者风险承受能力评估、投资者适当性管理、理财计划份额认购、申购及赎回办理。</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p>
    <w:p>
      <w:pPr>
        <w:spacing w:line="360" w:lineRule="auto"/>
        <w:jc w:val="left"/>
        <w:rPr>
          <w:rFonts w:ascii="宋体" w:hAnsi="宋体" w:cs="宋体"/>
          <w:bCs/>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6"/>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3"/>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6"/>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6"/>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6"/>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6"/>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理财管理人根据理财计划投资情况计算浮动管理费，本理财计划投资周期的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折合年化收益率超过</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的部分管理人提取</w:t>
      </w:r>
      <w:r>
        <w:rPr>
          <w:rFonts w:hint="eastAsia" w:ascii="宋体" w:hAnsi="宋体" w:cs="宋体"/>
          <w:szCs w:val="21"/>
          <w:highlight w:val="none"/>
        </w:rPr>
        <w:t>〖</w:t>
      </w:r>
      <w:r>
        <w:rPr>
          <w:rFonts w:hint="eastAsia" w:ascii="宋体" w:hAnsi="宋体" w:cs="宋体"/>
          <w:szCs w:val="21"/>
          <w:highlight w:val="none"/>
          <w:lang w:val="en-US" w:eastAsia="zh-CN"/>
        </w:rPr>
        <w:t>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作为浮动管理费，每个投资周期结束后收取。本理财计划投资周期的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折合年化收益率若小于或等于</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则不收取浮动管理费。</w:t>
      </w:r>
      <w:r>
        <w:rPr>
          <w:rFonts w:hint="eastAsia" w:ascii="宋体" w:hAnsi="宋体" w:cs="宋体"/>
          <w:bCs/>
          <w:color w:val="000000"/>
          <w:sz w:val="24"/>
          <w:highlight w:val="none"/>
          <w:lang w:eastAsia="zh-CN"/>
        </w:rPr>
        <w:t>浮动管理费原则上按估值日计提，</w:t>
      </w:r>
      <w:r>
        <w:rPr>
          <w:rFonts w:hint="eastAsia" w:ascii="宋体" w:hAnsi="宋体" w:cs="宋体"/>
          <w:bCs/>
          <w:color w:val="000000"/>
          <w:sz w:val="24"/>
          <w:highlight w:val="none"/>
          <w:lang w:val="en-US" w:eastAsia="zh-CN"/>
        </w:rPr>
        <w:t>每个投资周期结束后</w:t>
      </w:r>
      <w:r>
        <w:rPr>
          <w:rFonts w:hint="eastAsia" w:ascii="宋体" w:hAnsi="宋体" w:cs="宋体"/>
          <w:bCs/>
          <w:color w:val="000000"/>
          <w:sz w:val="24"/>
          <w:highlight w:val="none"/>
          <w:lang w:eastAsia="zh-CN"/>
        </w:rPr>
        <w:t>收取。以</w:t>
      </w:r>
      <w:r>
        <w:rPr>
          <w:rFonts w:hint="eastAsia" w:ascii="宋体" w:hAnsi="宋体" w:cs="宋体"/>
          <w:sz w:val="24"/>
          <w:szCs w:val="24"/>
          <w:highlight w:val="none"/>
        </w:rPr>
        <w:t>〖</w:t>
      </w:r>
      <w:r>
        <w:rPr>
          <w:rFonts w:hint="eastAsia" w:ascii="宋体" w:hAnsi="宋体" w:cs="宋体"/>
          <w:sz w:val="24"/>
          <w:szCs w:val="24"/>
          <w:highlight w:val="none"/>
          <w:lang w:val="en-US" w:eastAsia="zh-CN"/>
        </w:rPr>
        <w:t>A</w:t>
      </w:r>
      <w:r>
        <w:rPr>
          <w:rFonts w:hint="eastAsia" w:ascii="宋体" w:hAnsi="宋体" w:cs="宋体"/>
          <w:color w:val="000000"/>
          <w:sz w:val="24"/>
          <w:szCs w:val="24"/>
          <w:highlight w:val="none"/>
          <w:lang w:val="en-US" w:eastAsia="zh-CN"/>
        </w:rPr>
        <w:t>份额</w:t>
      </w:r>
      <w:r>
        <w:rPr>
          <w:rFonts w:hint="eastAsia" w:ascii="宋体" w:hAnsi="宋体" w:cs="宋体"/>
          <w:sz w:val="24"/>
          <w:szCs w:val="24"/>
          <w:highlight w:val="none"/>
        </w:rPr>
        <w:t>〗</w:t>
      </w:r>
      <w:r>
        <w:rPr>
          <w:rFonts w:hint="eastAsia" w:ascii="宋体" w:hAnsi="宋体" w:cs="宋体"/>
          <w:sz w:val="24"/>
          <w:szCs w:val="24"/>
          <w:highlight w:val="none"/>
          <w:lang w:eastAsia="zh-CN"/>
        </w:rPr>
        <w:t>为例，</w:t>
      </w:r>
      <w:r>
        <w:rPr>
          <w:rFonts w:hint="eastAsia" w:ascii="宋体" w:hAnsi="宋体" w:cs="宋体"/>
          <w:bCs/>
          <w:color w:val="000000"/>
          <w:sz w:val="24"/>
          <w:highlight w:val="none"/>
        </w:rPr>
        <w:t>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cs="宋体"/>
          <w:bCs/>
          <w:color w:val="000000"/>
          <w:sz w:val="24"/>
          <w:highlight w:val="none"/>
          <w:lang w:val="en-US" w:eastAsia="zh-CN"/>
        </w:rPr>
        <w:t>50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〗当前确认日应收取浮动管理费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〗上一个确认日的存续份额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〗上一个确认日前一日费后单位净值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〗当前确认日前一日未扣除浮动管理费前的单位净值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〗本次投资周期的业绩比较</w:t>
      </w:r>
      <w:r>
        <w:rPr>
          <w:rFonts w:hint="eastAsia" w:ascii="宋体" w:hAnsi="宋体" w:cs="宋体"/>
          <w:bCs/>
          <w:color w:val="000000"/>
          <w:sz w:val="24"/>
          <w:highlight w:val="none"/>
          <w:lang w:val="en-US" w:eastAsia="zh-CN"/>
        </w:rPr>
        <w:t>基准</w:t>
      </w:r>
      <w:r>
        <w:rPr>
          <w:rFonts w:hint="eastAsia" w:ascii="宋体" w:hAnsi="宋体" w:cs="宋体"/>
          <w:bCs/>
          <w:color w:val="000000"/>
          <w:sz w:val="24"/>
          <w:highlight w:val="none"/>
        </w:rPr>
        <w:t>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〗上一个确认日（含）至当前确认日（不含）的实际理财天数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T为〖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〗当前投资周期内每单位份额的实际分红金额的合计（如有）</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2"/>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2"/>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2"/>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单位净值为提取相关费用及税费后的单位理财计划份额净值。</w:t>
      </w:r>
    </w:p>
    <w:p>
      <w:pPr>
        <w:numPr>
          <w:ilvl w:val="0"/>
          <w:numId w:val="43"/>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（如有）后，如理财计划净值为1.0615，此时，(1.0615/1.00-1)×365/362=6.20%&gt;5.00%，即投资收益超过〖5.00%〗，则投资管理人对超过〖5.00%〗部分收益收取浮动管理费，浮动管理费为：</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100,000.00×1.0615-100,000.00×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w:t>
      </w:r>
      <w:r>
        <w:rPr>
          <w:rFonts w:hint="eastAsia" w:ascii="宋体" w:hAnsi="宋体" w:cs="宋体"/>
          <w:bCs/>
          <w:color w:val="000000"/>
          <w:sz w:val="24"/>
          <w:highlight w:val="none"/>
          <w:lang w:val="en-US" w:eastAsia="zh-CN"/>
        </w:rPr>
        <w:t>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 xml:space="preserve"> =5,55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（元），理财计划</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时，投资者获得的实际收益相当于达到年化收益率水平为：5,55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/100,000.00×365/362=5.60%。</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（如有）后，投资收益率未达到〖</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（如有）后，如理财计划净值为1.0426，此时，(1.0426/1.00-1)×365/362=4.30%&lt;5.00%，即投资收益未达到〖5.00%〗，则投资管理人不收取浮动管理费，投资者最终收益为：100,000.00×(1.0426-1.00）=4,260.00（元）</w:t>
      </w:r>
    </w:p>
    <w:p>
      <w:pPr>
        <w:numPr>
          <w:ilvl w:val="0"/>
          <w:numId w:val="44"/>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（如有）后，如理财计划净值为0.9975，则投资管理人不收取浮动管理费，投资者最终收益为：100,000.00×（0.9975-1.00）=-250.00（元）。</w:t>
      </w:r>
    </w:p>
    <w:p>
      <w:pPr>
        <w:numPr>
          <w:ilvl w:val="0"/>
          <w:numId w:val="4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sz w:val="24"/>
          <w:highlight w:val="none"/>
          <w:lang w:eastAsia="zh-CN"/>
        </w:rPr>
        <w:t>（</w:t>
      </w:r>
      <w:r>
        <w:rPr>
          <w:rFonts w:hint="eastAsia" w:ascii="宋体" w:hAnsi="宋体" w:cs="宋体"/>
          <w:bCs/>
          <w:color w:val="000000"/>
        </w:rPr>
        <w:t>具体以销售机构要求为准</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7"/>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4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4"/>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8"/>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8"/>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5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8"/>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2"/>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3"/>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4"/>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outlineLvl w:val="1"/>
        <w:rPr>
          <w:rFonts w:hint="eastAsia" w:ascii="宋体" w:hAnsi="宋体" w:cs="宋体"/>
          <w:b/>
          <w:kern w:val="0"/>
          <w:sz w:val="24"/>
          <w:highlight w:val="none"/>
        </w:rPr>
      </w:pPr>
      <w:r>
        <w:rPr>
          <w:rFonts w:hint="eastAsia" w:ascii="宋体" w:hAnsi="宋体" w:cs="宋体"/>
          <w:bCs/>
          <w:color w:val="auto"/>
          <w:kern w:val="2"/>
          <w:highlight w:val="none"/>
          <w:lang w:eastAsia="zh-CN"/>
        </w:rPr>
        <w:t>投资者风险承受能力评级水平以销售机构评估为准。</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6"/>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7"/>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8"/>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rPr>
      </w:pPr>
      <w:r>
        <w:rPr>
          <w:rFonts w:hint="eastAsia" w:ascii="宋体" w:hAnsi="宋体" w:cs="宋体"/>
          <w:b/>
          <w:kern w:val="0"/>
          <w:sz w:val="24"/>
        </w:rPr>
        <w:t>六、投诉与建议</w:t>
      </w:r>
    </w:p>
    <w:p>
      <w:pPr>
        <w:numPr>
          <w:ilvl w:val="0"/>
          <w:numId w:val="69"/>
        </w:numPr>
        <w:spacing w:line="360" w:lineRule="auto"/>
        <w:outlineLvl w:val="2"/>
        <w:rPr>
          <w:rFonts w:hint="eastAsia" w:ascii="宋体" w:hAnsi="宋体" w:cs="宋体"/>
          <w:kern w:val="0"/>
          <w:sz w:val="24"/>
        </w:rPr>
      </w:pPr>
      <w:r>
        <w:rPr>
          <w:rFonts w:hint="eastAsia" w:ascii="宋体" w:hAnsi="宋体" w:cs="宋体"/>
          <w:kern w:val="0"/>
          <w:sz w:val="24"/>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69"/>
        </w:numPr>
        <w:spacing w:line="360" w:lineRule="auto"/>
        <w:outlineLvl w:val="2"/>
        <w:rPr>
          <w:rFonts w:hint="eastAsia" w:ascii="宋体" w:hAnsi="宋体" w:cs="宋体"/>
          <w:kern w:val="0"/>
          <w:sz w:val="24"/>
        </w:rPr>
      </w:pPr>
      <w:r>
        <w:rPr>
          <w:rFonts w:hint="eastAsia" w:ascii="宋体" w:hAnsi="宋体" w:cs="宋体"/>
          <w:kern w:val="0"/>
          <w:sz w:val="24"/>
        </w:rPr>
        <w:t>投诉流程及联络方式</w:t>
      </w:r>
    </w:p>
    <w:p>
      <w:pPr>
        <w:numPr>
          <w:ilvl w:val="0"/>
          <w:numId w:val="0"/>
        </w:numPr>
        <w:spacing w:line="360" w:lineRule="auto"/>
        <w:ind w:firstLine="480" w:firstLineChars="200"/>
        <w:outlineLvl w:val="2"/>
        <w:rPr>
          <w:rFonts w:hint="eastAsia" w:ascii="宋体" w:hAnsi="宋体" w:cs="宋体"/>
          <w:kern w:val="0"/>
          <w:sz w:val="24"/>
        </w:rPr>
      </w:pPr>
      <w:r>
        <w:rPr>
          <w:rFonts w:hint="eastAsia" w:ascii="宋体" w:hAnsi="宋体" w:cs="宋体"/>
          <w:kern w:val="0"/>
          <w:sz w:val="24"/>
        </w:rPr>
        <w:t>投资者若需投诉，请随时拔打石嘴山银行(销售机构)24小时客户服务热线:96789;投资者也可拨打理财产品销售文件上载明的理财服务人员联系电话、销售网点联系电话进行投诉。</w:t>
      </w:r>
    </w:p>
    <w:p>
      <w:pPr>
        <w:numPr>
          <w:ilvl w:val="0"/>
          <w:numId w:val="0"/>
        </w:numPr>
        <w:spacing w:line="360" w:lineRule="auto"/>
        <w:ind w:firstLine="480" w:firstLineChars="200"/>
        <w:outlineLvl w:val="2"/>
        <w:rPr>
          <w:rFonts w:hint="eastAsia" w:ascii="宋体" w:hAnsi="宋体" w:cs="宋体"/>
          <w:kern w:val="0"/>
          <w:sz w:val="24"/>
        </w:rPr>
      </w:pPr>
      <w:r>
        <w:rPr>
          <w:rFonts w:hint="eastAsia" w:ascii="宋体" w:hAnsi="宋体" w:cs="宋体"/>
          <w:kern w:val="0"/>
          <w:sz w:val="24"/>
        </w:rPr>
        <w:t>相关部门和人员将在接到投资者的投诉后，按照以下流程进行处理:核实交易记录和交易情形、调查理财服务人员、形成反馈意见、反馈投资者并征询意见、按一致意见处理投诉等</w:t>
      </w:r>
    </w:p>
    <w:p>
      <w:pPr>
        <w:numPr>
          <w:ilvl w:val="0"/>
          <w:numId w:val="0"/>
        </w:numPr>
        <w:spacing w:line="360" w:lineRule="auto"/>
        <w:ind w:firstLine="480" w:firstLineChars="200"/>
        <w:outlineLvl w:val="2"/>
        <w:rPr>
          <w:rFonts w:hint="eastAsia" w:ascii="宋体" w:hAnsi="宋体" w:cs="宋体"/>
          <w:kern w:val="0"/>
          <w:sz w:val="24"/>
        </w:rPr>
      </w:pPr>
      <w:r>
        <w:rPr>
          <w:rFonts w:hint="eastAsia" w:ascii="宋体" w:hAnsi="宋体" w:cs="宋体"/>
          <w:kern w:val="0"/>
          <w:sz w:val="24"/>
        </w:rPr>
        <w:t>石嘴山银行官网网站:www.szsccb.com。</w:t>
      </w:r>
    </w:p>
    <w:p>
      <w:pPr>
        <w:numPr>
          <w:ilvl w:val="0"/>
          <w:numId w:val="69"/>
        </w:numPr>
        <w:spacing w:line="360" w:lineRule="auto"/>
        <w:outlineLvl w:val="2"/>
        <w:rPr>
          <w:rFonts w:hint="eastAsia" w:ascii="宋体" w:hAnsi="宋体" w:eastAsia="宋体" w:cs="宋体"/>
          <w:kern w:val="0"/>
          <w:sz w:val="24"/>
        </w:rPr>
      </w:pPr>
      <w:r>
        <w:rPr>
          <w:rFonts w:hint="eastAsia" w:ascii="宋体" w:hAnsi="宋体" w:eastAsia="宋体" w:cs="宋体"/>
          <w:kern w:val="0"/>
          <w:sz w:val="24"/>
        </w:rPr>
        <w:t>杭银理财联络方式：</w:t>
      </w:r>
    </w:p>
    <w:p>
      <w:pPr>
        <w:numPr>
          <w:ilvl w:val="0"/>
          <w:numId w:val="70"/>
        </w:numPr>
        <w:spacing w:line="360" w:lineRule="auto"/>
        <w:rPr>
          <w:rFonts w:hint="eastAsia" w:ascii="宋体" w:hAnsi="宋体" w:cs="宋体"/>
          <w:kern w:val="0"/>
          <w:sz w:val="24"/>
        </w:rPr>
      </w:pPr>
      <w:r>
        <w:rPr>
          <w:rFonts w:hint="eastAsia" w:ascii="宋体" w:hAnsi="宋体" w:cs="宋体"/>
          <w:kern w:val="0"/>
          <w:sz w:val="24"/>
        </w:rPr>
        <w:t>杭银理财联络方式：</w:t>
      </w:r>
    </w:p>
    <w:p>
      <w:pPr>
        <w:spacing w:line="360" w:lineRule="auto"/>
        <w:ind w:firstLine="480" w:firstLineChars="200"/>
        <w:rPr>
          <w:rFonts w:hint="eastAsia" w:ascii="宋体" w:hAnsi="宋体" w:cs="宋体"/>
          <w:kern w:val="0"/>
          <w:sz w:val="24"/>
          <w:u w:val="single"/>
        </w:rPr>
      </w:pPr>
      <w:r>
        <w:rPr>
          <w:rFonts w:hint="eastAsia" w:ascii="宋体" w:hAnsi="宋体" w:cs="宋体"/>
          <w:kern w:val="0"/>
          <w:sz w:val="24"/>
        </w:rPr>
        <w:t>官方网站：</w:t>
      </w:r>
      <w:r>
        <w:fldChar w:fldCharType="begin"/>
      </w:r>
      <w:r>
        <w:rPr>
          <w:rFonts w:ascii="宋体" w:hAnsi="宋体" w:cs="宋体"/>
          <w:kern w:val="0"/>
          <w:sz w:val="24"/>
        </w:rPr>
        <w:instrText xml:space="preserve"> HYPERLINK "https://www.hzbankwealth.com.cn/" \t "_blank" </w:instrText>
      </w:r>
      <w:r>
        <w:fldChar w:fldCharType="separate"/>
      </w:r>
      <w:r>
        <w:rPr>
          <w:rFonts w:ascii="宋体" w:hAnsi="宋体" w:cs="宋体"/>
          <w:kern w:val="0"/>
          <w:sz w:val="24"/>
        </w:rPr>
        <w:t>https://www.hzbankwealth.com.cn</w:t>
      </w:r>
      <w:r>
        <w:fldChar w:fldCharType="end"/>
      </w:r>
    </w:p>
    <w:p>
      <w:pPr>
        <w:spacing w:line="360" w:lineRule="auto"/>
        <w:ind w:firstLine="480" w:firstLineChars="200"/>
        <w:rPr>
          <w:rFonts w:ascii="宋体" w:hAnsi="宋体" w:cs="宋体"/>
          <w:kern w:val="0"/>
          <w:sz w:val="24"/>
        </w:rPr>
      </w:pPr>
      <w:r>
        <w:rPr>
          <w:rFonts w:hint="eastAsia" w:ascii="宋体" w:hAnsi="宋体" w:cs="宋体"/>
          <w:kern w:val="0"/>
          <w:sz w:val="24"/>
        </w:rPr>
        <w:t>客户服务热线：400-8950-999</w:t>
      </w:r>
    </w:p>
    <w:p>
      <w:pPr>
        <w:spacing w:line="360" w:lineRule="auto"/>
        <w:ind w:firstLine="480" w:firstLineChars="200"/>
        <w:rPr>
          <w:rFonts w:hint="eastAsia" w:ascii="宋体" w:hAnsi="宋体" w:cs="宋体"/>
          <w:kern w:val="0"/>
          <w:sz w:val="24"/>
        </w:rPr>
      </w:pPr>
      <w:r>
        <w:rPr>
          <w:rFonts w:hint="eastAsia" w:ascii="宋体" w:hAnsi="宋体" w:cs="宋体"/>
          <w:kern w:val="0"/>
          <w:sz w:val="24"/>
        </w:rPr>
        <w:t>公司地址：杭州市拱墅区庆春路38号金龙财富中心6楼</w:t>
      </w:r>
    </w:p>
    <w:p>
      <w:pPr>
        <w:spacing w:line="360" w:lineRule="auto"/>
        <w:jc w:val="center"/>
        <w:outlineLvl w:val="0"/>
        <w:rPr>
          <w:rFonts w:hint="eastAsia"/>
          <w:b/>
          <w:sz w:val="44"/>
          <w:szCs w:val="44"/>
          <w:highlight w:val="none"/>
        </w:rPr>
      </w:pPr>
      <w:r>
        <w:rPr>
          <w:rFonts w:hint="eastAsia" w:ascii="宋体" w:hAnsi="宋体" w:cs="宋体"/>
          <w:kern w:val="0"/>
          <w:sz w:val="24"/>
        </w:rPr>
        <w:t>若上述联系方式变更，杭银理财将提前通过官方网站及时告知投资者。</w:t>
      </w:r>
      <w:bookmarkStart w:id="0" w:name="_GoBack"/>
      <w:bookmarkEnd w:id="0"/>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1"/>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2"/>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投资者进行投资时，应严格遵守反洗钱相关法规的规定，切实履行反洗钱及反恐怖融资义务。</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3"/>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4"/>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w:t>
      </w:r>
      <w:r>
        <w:rPr>
          <w:rFonts w:hint="eastAsia" w:ascii="宋体" w:hAnsi="宋体"/>
          <w:sz w:val="24"/>
          <w:highlight w:val="none"/>
          <w:lang w:val="en-US" w:eastAsia="zh-CN"/>
        </w:rPr>
        <w:t>在</w:t>
      </w:r>
      <w:r>
        <w:rPr>
          <w:rFonts w:hint="eastAsia" w:ascii="宋体" w:hAnsi="宋体"/>
          <w:sz w:val="24"/>
          <w:highlight w:val="none"/>
        </w:rPr>
        <w:t>理财计划销售文件</w:t>
      </w:r>
      <w:r>
        <w:rPr>
          <w:rFonts w:hint="eastAsia" w:ascii="宋体" w:hAnsi="宋体"/>
          <w:sz w:val="24"/>
          <w:highlight w:val="none"/>
          <w:lang w:val="en-US" w:eastAsia="zh-CN"/>
        </w:rPr>
        <w:t>中授权的</w:t>
      </w:r>
      <w:r>
        <w:rPr>
          <w:rFonts w:hint="eastAsia" w:ascii="宋体" w:hAnsi="宋体"/>
          <w:sz w:val="24"/>
          <w:highlight w:val="none"/>
        </w:rPr>
        <w:t>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1"/>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1"/>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rPr>
      </w:pPr>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8"/>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8"/>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8"/>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79"/>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投资须谨慎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5460E80"/>
    <w:multiLevelType w:val="singleLevel"/>
    <w:tmpl w:val="85460E80"/>
    <w:lvl w:ilvl="0" w:tentative="0">
      <w:start w:val="1"/>
      <w:numFmt w:val="decimal"/>
      <w:suff w:val="nothing"/>
      <w:lvlText w:val="（%1）"/>
      <w:lvlJc w:val="left"/>
      <w:rPr>
        <w:rFonts w:hint="default"/>
        <w:b w:val="0"/>
        <w:bCs w:val="0"/>
      </w:rPr>
    </w:lvl>
  </w:abstractNum>
  <w:abstractNum w:abstractNumId="3">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
    <w:nsid w:val="8906C252"/>
    <w:multiLevelType w:val="singleLevel"/>
    <w:tmpl w:val="8906C252"/>
    <w:lvl w:ilvl="0" w:tentative="0">
      <w:start w:val="1"/>
      <w:numFmt w:val="decimal"/>
      <w:suff w:val="nothing"/>
      <w:lvlText w:val="（%1）"/>
      <w:lvlJc w:val="left"/>
      <w:rPr>
        <w:rFonts w:hint="default"/>
        <w:b w:val="0"/>
        <w:bCs w:val="0"/>
      </w:rPr>
    </w:lvl>
  </w:abstractNum>
  <w:abstractNum w:abstractNumId="5">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7">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8">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9">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0">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1">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2">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3">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4">
    <w:nsid w:val="AC40BB97"/>
    <w:multiLevelType w:val="singleLevel"/>
    <w:tmpl w:val="AC40BB97"/>
    <w:lvl w:ilvl="0" w:tentative="0">
      <w:start w:val="1"/>
      <w:numFmt w:val="chineseCounting"/>
      <w:suff w:val="nothing"/>
      <w:lvlText w:val="%1、"/>
      <w:lvlJc w:val="left"/>
      <w:rPr>
        <w:rFonts w:hint="eastAsia"/>
      </w:rPr>
    </w:lvl>
  </w:abstractNum>
  <w:abstractNum w:abstractNumId="15">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6">
    <w:nsid w:val="B08226EF"/>
    <w:multiLevelType w:val="singleLevel"/>
    <w:tmpl w:val="B08226EF"/>
    <w:lvl w:ilvl="0" w:tentative="0">
      <w:start w:val="1"/>
      <w:numFmt w:val="chineseCounting"/>
      <w:suff w:val="space"/>
      <w:lvlText w:val="第%1条"/>
      <w:lvlJc w:val="left"/>
      <w:rPr>
        <w:rFonts w:hint="eastAsia"/>
      </w:rPr>
    </w:lvl>
  </w:abstractNum>
  <w:abstractNum w:abstractNumId="17">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8">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9">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0">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1">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2">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3">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4">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5">
    <w:nsid w:val="D8D75090"/>
    <w:multiLevelType w:val="singleLevel"/>
    <w:tmpl w:val="D8D75090"/>
    <w:lvl w:ilvl="0" w:tentative="0">
      <w:start w:val="1"/>
      <w:numFmt w:val="decimal"/>
      <w:suff w:val="nothing"/>
      <w:lvlText w:val="（%1）"/>
      <w:lvlJc w:val="left"/>
      <w:rPr>
        <w:rFonts w:hint="default"/>
        <w:b w:val="0"/>
        <w:bCs w:val="0"/>
      </w:rPr>
    </w:lvl>
  </w:abstractNum>
  <w:abstractNum w:abstractNumId="26">
    <w:nsid w:val="DD2251DF"/>
    <w:multiLevelType w:val="singleLevel"/>
    <w:tmpl w:val="DD2251DF"/>
    <w:lvl w:ilvl="0" w:tentative="0">
      <w:start w:val="1"/>
      <w:numFmt w:val="decimal"/>
      <w:suff w:val="nothing"/>
      <w:lvlText w:val="（%1）"/>
      <w:lvlJc w:val="left"/>
      <w:rPr>
        <w:rFonts w:hint="default"/>
        <w:b w:val="0"/>
        <w:bCs w:val="0"/>
      </w:rPr>
    </w:lvl>
  </w:abstractNum>
  <w:abstractNum w:abstractNumId="27">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8">
    <w:nsid w:val="E70DF796"/>
    <w:multiLevelType w:val="singleLevel"/>
    <w:tmpl w:val="E70DF796"/>
    <w:lvl w:ilvl="0" w:tentative="0">
      <w:start w:val="1"/>
      <w:numFmt w:val="decimal"/>
      <w:suff w:val="nothing"/>
      <w:lvlText w:val="（%1）"/>
      <w:lvlJc w:val="left"/>
    </w:lvl>
  </w:abstractNum>
  <w:abstractNum w:abstractNumId="29">
    <w:nsid w:val="EFF37F09"/>
    <w:multiLevelType w:val="singleLevel"/>
    <w:tmpl w:val="EFF37F09"/>
    <w:lvl w:ilvl="0" w:tentative="0">
      <w:start w:val="1"/>
      <w:numFmt w:val="decimal"/>
      <w:suff w:val="nothing"/>
      <w:lvlText w:val="（%1）"/>
      <w:lvlJc w:val="left"/>
      <w:rPr>
        <w:rFonts w:hint="default"/>
        <w:b w:val="0"/>
        <w:bCs w:val="0"/>
      </w:rPr>
    </w:lvl>
  </w:abstractNum>
  <w:abstractNum w:abstractNumId="30">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1">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2">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3">
    <w:nsid w:val="F574F5B6"/>
    <w:multiLevelType w:val="singleLevel"/>
    <w:tmpl w:val="F574F5B6"/>
    <w:lvl w:ilvl="0" w:tentative="0">
      <w:start w:val="1"/>
      <w:numFmt w:val="decimal"/>
      <w:suff w:val="nothing"/>
      <w:lvlText w:val="（%1）"/>
      <w:lvlJc w:val="left"/>
    </w:lvl>
  </w:abstractNum>
  <w:abstractNum w:abstractNumId="34">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5">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6">
    <w:nsid w:val="084A6179"/>
    <w:multiLevelType w:val="singleLevel"/>
    <w:tmpl w:val="084A6179"/>
    <w:lvl w:ilvl="0" w:tentative="0">
      <w:start w:val="1"/>
      <w:numFmt w:val="decimal"/>
      <w:suff w:val="nothing"/>
      <w:lvlText w:val="（%1）"/>
      <w:lvlJc w:val="left"/>
      <w:rPr>
        <w:rFonts w:hint="default"/>
        <w:highlight w:val="none"/>
      </w:rPr>
    </w:lvl>
  </w:abstractNum>
  <w:abstractNum w:abstractNumId="37">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8">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9">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1">
    <w:nsid w:val="167B0BB4"/>
    <w:multiLevelType w:val="singleLevel"/>
    <w:tmpl w:val="167B0BB4"/>
    <w:lvl w:ilvl="0" w:tentative="0">
      <w:start w:val="1"/>
      <w:numFmt w:val="decimal"/>
      <w:suff w:val="nothing"/>
      <w:lvlText w:val="（%1）"/>
      <w:lvlJc w:val="left"/>
    </w:lvl>
  </w:abstractNum>
  <w:abstractNum w:abstractNumId="42">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3">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4">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5">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6">
    <w:nsid w:val="2CB63BE6"/>
    <w:multiLevelType w:val="singleLevel"/>
    <w:tmpl w:val="2CB63BE6"/>
    <w:lvl w:ilvl="0" w:tentative="0">
      <w:start w:val="1"/>
      <w:numFmt w:val="decimal"/>
      <w:suff w:val="nothing"/>
      <w:lvlText w:val="（%1）"/>
      <w:lvlJc w:val="left"/>
      <w:rPr>
        <w:rFonts w:hint="default"/>
        <w:b w:val="0"/>
        <w:bCs w:val="0"/>
      </w:rPr>
    </w:lvl>
  </w:abstractNum>
  <w:abstractNum w:abstractNumId="47">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8">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49">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0">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1">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2">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3">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4">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55">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6">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7">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8">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9">
    <w:nsid w:val="5BA91325"/>
    <w:multiLevelType w:val="singleLevel"/>
    <w:tmpl w:val="5BA91325"/>
    <w:lvl w:ilvl="0" w:tentative="0">
      <w:start w:val="1"/>
      <w:numFmt w:val="decimal"/>
      <w:suff w:val="nothing"/>
      <w:lvlText w:val="（%1）"/>
      <w:lvlJc w:val="left"/>
    </w:lvl>
  </w:abstractNum>
  <w:abstractNum w:abstractNumId="60">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1">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2">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3">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4">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5">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6">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7">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8">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69">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0">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1">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2">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3">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4">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5">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6">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7">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8">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79">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0">
    <w:nsid w:val="61F30F62"/>
    <w:multiLevelType w:val="singleLevel"/>
    <w:tmpl w:val="61F30F62"/>
    <w:lvl w:ilvl="0" w:tentative="0">
      <w:start w:val="1"/>
      <w:numFmt w:val="decimal"/>
      <w:suff w:val="nothing"/>
      <w:lvlText w:val="（%1）"/>
      <w:lvlJc w:val="left"/>
      <w:rPr>
        <w:rFonts w:hint="default"/>
        <w:b w:val="0"/>
        <w:bCs w:val="0"/>
      </w:rPr>
    </w:lvl>
  </w:abstractNum>
  <w:abstractNum w:abstractNumId="81">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2">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3">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4"/>
  </w:num>
  <w:num w:numId="2">
    <w:abstractNumId w:val="1"/>
  </w:num>
  <w:num w:numId="3">
    <w:abstractNumId w:val="51"/>
  </w:num>
  <w:num w:numId="4">
    <w:abstractNumId w:val="43"/>
  </w:num>
  <w:num w:numId="5">
    <w:abstractNumId w:val="21"/>
  </w:num>
  <w:num w:numId="6">
    <w:abstractNumId w:val="82"/>
  </w:num>
  <w:num w:numId="7">
    <w:abstractNumId w:val="37"/>
  </w:num>
  <w:num w:numId="8">
    <w:abstractNumId w:val="83"/>
  </w:num>
  <w:num w:numId="9">
    <w:abstractNumId w:val="57"/>
  </w:num>
  <w:num w:numId="10">
    <w:abstractNumId w:val="53"/>
  </w:num>
  <w:num w:numId="11">
    <w:abstractNumId w:val="34"/>
  </w:num>
  <w:num w:numId="12">
    <w:abstractNumId w:val="31"/>
  </w:num>
  <w:num w:numId="13">
    <w:abstractNumId w:val="39"/>
  </w:num>
  <w:num w:numId="14">
    <w:abstractNumId w:val="30"/>
  </w:num>
  <w:num w:numId="15">
    <w:abstractNumId w:val="22"/>
  </w:num>
  <w:num w:numId="16">
    <w:abstractNumId w:val="11"/>
  </w:num>
  <w:num w:numId="17">
    <w:abstractNumId w:val="18"/>
  </w:num>
  <w:num w:numId="18">
    <w:abstractNumId w:val="8"/>
  </w:num>
  <w:num w:numId="19">
    <w:abstractNumId w:val="9"/>
  </w:num>
  <w:num w:numId="20">
    <w:abstractNumId w:val="7"/>
  </w:num>
  <w:num w:numId="21">
    <w:abstractNumId w:val="38"/>
  </w:num>
  <w:num w:numId="22">
    <w:abstractNumId w:val="52"/>
  </w:num>
  <w:num w:numId="23">
    <w:abstractNumId w:val="33"/>
  </w:num>
  <w:num w:numId="24">
    <w:abstractNumId w:val="54"/>
  </w:num>
  <w:num w:numId="25">
    <w:abstractNumId w:val="59"/>
  </w:num>
  <w:num w:numId="26">
    <w:abstractNumId w:val="45"/>
  </w:num>
  <w:num w:numId="27">
    <w:abstractNumId w:val="20"/>
  </w:num>
  <w:num w:numId="28">
    <w:abstractNumId w:val="44"/>
  </w:num>
  <w:num w:numId="29">
    <w:abstractNumId w:val="24"/>
  </w:num>
  <w:num w:numId="30">
    <w:abstractNumId w:val="6"/>
  </w:num>
  <w:num w:numId="31">
    <w:abstractNumId w:val="56"/>
  </w:num>
  <w:num w:numId="32">
    <w:abstractNumId w:val="5"/>
  </w:num>
  <w:num w:numId="33">
    <w:abstractNumId w:val="36"/>
  </w:num>
  <w:num w:numId="34">
    <w:abstractNumId w:val="42"/>
  </w:num>
  <w:num w:numId="35">
    <w:abstractNumId w:val="81"/>
  </w:num>
  <w:num w:numId="36">
    <w:abstractNumId w:val="35"/>
  </w:num>
  <w:num w:numId="37">
    <w:abstractNumId w:val="23"/>
  </w:num>
  <w:num w:numId="38">
    <w:abstractNumId w:val="47"/>
  </w:num>
  <w:num w:numId="39">
    <w:abstractNumId w:val="0"/>
  </w:num>
  <w:num w:numId="40">
    <w:abstractNumId w:val="26"/>
  </w:num>
  <w:num w:numId="41">
    <w:abstractNumId w:val="50"/>
  </w:num>
  <w:num w:numId="42">
    <w:abstractNumId w:val="3"/>
  </w:num>
  <w:num w:numId="43">
    <w:abstractNumId w:val="27"/>
  </w:num>
  <w:num w:numId="44">
    <w:abstractNumId w:val="17"/>
  </w:num>
  <w:num w:numId="45">
    <w:abstractNumId w:val="55"/>
  </w:num>
  <w:num w:numId="46">
    <w:abstractNumId w:val="40"/>
  </w:num>
  <w:num w:numId="47">
    <w:abstractNumId w:val="19"/>
  </w:num>
  <w:num w:numId="48">
    <w:abstractNumId w:val="32"/>
  </w:num>
  <w:num w:numId="49">
    <w:abstractNumId w:val="28"/>
  </w:num>
  <w:num w:numId="50">
    <w:abstractNumId w:val="29"/>
  </w:num>
  <w:num w:numId="51">
    <w:abstractNumId w:val="80"/>
  </w:num>
  <w:num w:numId="52">
    <w:abstractNumId w:val="46"/>
  </w:num>
  <w:num w:numId="53">
    <w:abstractNumId w:val="2"/>
  </w:num>
  <w:num w:numId="54">
    <w:abstractNumId w:val="58"/>
  </w:num>
  <w:num w:numId="55">
    <w:abstractNumId w:val="12"/>
  </w:num>
  <w:num w:numId="56">
    <w:abstractNumId w:val="10"/>
  </w:num>
  <w:num w:numId="57">
    <w:abstractNumId w:val="13"/>
  </w:num>
  <w:num w:numId="58">
    <w:abstractNumId w:val="41"/>
  </w:num>
  <w:num w:numId="59">
    <w:abstractNumId w:val="25"/>
  </w:num>
  <w:num w:numId="60">
    <w:abstractNumId w:val="4"/>
  </w:num>
  <w:num w:numId="61">
    <w:abstractNumId w:val="49"/>
  </w:num>
  <w:num w:numId="62">
    <w:abstractNumId w:val="67"/>
  </w:num>
  <w:num w:numId="63">
    <w:abstractNumId w:val="66"/>
  </w:num>
  <w:num w:numId="64">
    <w:abstractNumId w:val="68"/>
  </w:num>
  <w:num w:numId="65">
    <w:abstractNumId w:val="69"/>
  </w:num>
  <w:num w:numId="66">
    <w:abstractNumId w:val="70"/>
  </w:num>
  <w:num w:numId="67">
    <w:abstractNumId w:val="71"/>
  </w:num>
  <w:num w:numId="68">
    <w:abstractNumId w:val="72"/>
  </w:num>
  <w:num w:numId="69">
    <w:abstractNumId w:val="73"/>
  </w:num>
  <w:num w:numId="70">
    <w:abstractNumId w:val="48"/>
  </w:num>
  <w:num w:numId="71">
    <w:abstractNumId w:val="16"/>
  </w:num>
  <w:num w:numId="72">
    <w:abstractNumId w:val="60"/>
  </w:num>
  <w:num w:numId="73">
    <w:abstractNumId w:val="61"/>
  </w:num>
  <w:num w:numId="74">
    <w:abstractNumId w:val="62"/>
  </w:num>
  <w:num w:numId="75">
    <w:abstractNumId w:val="63"/>
  </w:num>
  <w:num w:numId="76">
    <w:abstractNumId w:val="64"/>
  </w:num>
  <w:num w:numId="77">
    <w:abstractNumId w:val="65"/>
  </w:num>
  <w:num w:numId="78">
    <w:abstractNumId w:val="74"/>
  </w:num>
  <w:num w:numId="79">
    <w:abstractNumId w:val="75"/>
  </w:num>
  <w:num w:numId="80">
    <w:abstractNumId w:val="15"/>
  </w:num>
  <w:num w:numId="81">
    <w:abstractNumId w:val="76"/>
  </w:num>
  <w:num w:numId="82">
    <w:abstractNumId w:val="77"/>
  </w:num>
  <w:num w:numId="83">
    <w:abstractNumId w:val="78"/>
  </w:num>
  <w:num w:numId="84">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D5498D"/>
    <w:rsid w:val="01364432"/>
    <w:rsid w:val="01523B8E"/>
    <w:rsid w:val="01BB3F30"/>
    <w:rsid w:val="01E60817"/>
    <w:rsid w:val="01FD241C"/>
    <w:rsid w:val="023F552D"/>
    <w:rsid w:val="03F1228C"/>
    <w:rsid w:val="046C4318"/>
    <w:rsid w:val="05165B63"/>
    <w:rsid w:val="05E05E4D"/>
    <w:rsid w:val="05ED7265"/>
    <w:rsid w:val="06420CFA"/>
    <w:rsid w:val="06503B59"/>
    <w:rsid w:val="065B6789"/>
    <w:rsid w:val="06F301FD"/>
    <w:rsid w:val="0752555A"/>
    <w:rsid w:val="07E45984"/>
    <w:rsid w:val="0828699A"/>
    <w:rsid w:val="087D4021"/>
    <w:rsid w:val="08E1077C"/>
    <w:rsid w:val="09155E8F"/>
    <w:rsid w:val="097E3F67"/>
    <w:rsid w:val="09FE573C"/>
    <w:rsid w:val="0A0C6349"/>
    <w:rsid w:val="0A1347F5"/>
    <w:rsid w:val="0A1F3796"/>
    <w:rsid w:val="0A2A32B9"/>
    <w:rsid w:val="0B8E27E3"/>
    <w:rsid w:val="0BF71AE2"/>
    <w:rsid w:val="0C9C7394"/>
    <w:rsid w:val="0CA6603D"/>
    <w:rsid w:val="0D0B1B00"/>
    <w:rsid w:val="0D3F210A"/>
    <w:rsid w:val="0E36795A"/>
    <w:rsid w:val="0E4A4B6F"/>
    <w:rsid w:val="0E9465E2"/>
    <w:rsid w:val="0EAE473F"/>
    <w:rsid w:val="0EF65480"/>
    <w:rsid w:val="0F3349D0"/>
    <w:rsid w:val="10776FA2"/>
    <w:rsid w:val="10E7087B"/>
    <w:rsid w:val="10FA5463"/>
    <w:rsid w:val="11BA058F"/>
    <w:rsid w:val="12081858"/>
    <w:rsid w:val="12B62B3B"/>
    <w:rsid w:val="12F57C75"/>
    <w:rsid w:val="12F65E46"/>
    <w:rsid w:val="12F96486"/>
    <w:rsid w:val="13031153"/>
    <w:rsid w:val="13181417"/>
    <w:rsid w:val="135A629F"/>
    <w:rsid w:val="13CF7B8E"/>
    <w:rsid w:val="14B80FF2"/>
    <w:rsid w:val="14C57FED"/>
    <w:rsid w:val="150C5665"/>
    <w:rsid w:val="15485BE1"/>
    <w:rsid w:val="15C56302"/>
    <w:rsid w:val="160940BB"/>
    <w:rsid w:val="1659752C"/>
    <w:rsid w:val="16CE5BE1"/>
    <w:rsid w:val="16E43A7F"/>
    <w:rsid w:val="175F7C56"/>
    <w:rsid w:val="185A3DA1"/>
    <w:rsid w:val="198C4B50"/>
    <w:rsid w:val="19BB4557"/>
    <w:rsid w:val="19DA4F78"/>
    <w:rsid w:val="19F13F4F"/>
    <w:rsid w:val="1A102675"/>
    <w:rsid w:val="1A3B5FB6"/>
    <w:rsid w:val="1B280245"/>
    <w:rsid w:val="1B581220"/>
    <w:rsid w:val="1B843575"/>
    <w:rsid w:val="1BBE4697"/>
    <w:rsid w:val="1CD6762A"/>
    <w:rsid w:val="1D4D5B7F"/>
    <w:rsid w:val="1D5076C2"/>
    <w:rsid w:val="1D552DD9"/>
    <w:rsid w:val="1DAB6D83"/>
    <w:rsid w:val="1E3173A3"/>
    <w:rsid w:val="1E792E51"/>
    <w:rsid w:val="1F0F5A19"/>
    <w:rsid w:val="1F1D6E1F"/>
    <w:rsid w:val="1F3E7F7D"/>
    <w:rsid w:val="1F51312D"/>
    <w:rsid w:val="1FC9553A"/>
    <w:rsid w:val="203C075D"/>
    <w:rsid w:val="204D3B12"/>
    <w:rsid w:val="205A2AB3"/>
    <w:rsid w:val="20B6224D"/>
    <w:rsid w:val="21025026"/>
    <w:rsid w:val="21036497"/>
    <w:rsid w:val="21CE3241"/>
    <w:rsid w:val="22A04AF7"/>
    <w:rsid w:val="22A73C8E"/>
    <w:rsid w:val="22D3594B"/>
    <w:rsid w:val="22F12819"/>
    <w:rsid w:val="22F16CBB"/>
    <w:rsid w:val="234F46D7"/>
    <w:rsid w:val="23753F06"/>
    <w:rsid w:val="238E1AAE"/>
    <w:rsid w:val="23DF60A6"/>
    <w:rsid w:val="24030B6D"/>
    <w:rsid w:val="24345B9A"/>
    <w:rsid w:val="245517BD"/>
    <w:rsid w:val="2483647E"/>
    <w:rsid w:val="256F076F"/>
    <w:rsid w:val="25AF7681"/>
    <w:rsid w:val="25C664C0"/>
    <w:rsid w:val="26820AF7"/>
    <w:rsid w:val="268D46D2"/>
    <w:rsid w:val="27947E62"/>
    <w:rsid w:val="27EB2573"/>
    <w:rsid w:val="292668E3"/>
    <w:rsid w:val="29361BBD"/>
    <w:rsid w:val="2A124404"/>
    <w:rsid w:val="2A1B5D68"/>
    <w:rsid w:val="2A5975B6"/>
    <w:rsid w:val="2A991D32"/>
    <w:rsid w:val="2AB92324"/>
    <w:rsid w:val="2AD6555A"/>
    <w:rsid w:val="2B376BE0"/>
    <w:rsid w:val="2B5B0398"/>
    <w:rsid w:val="2C1B1E9D"/>
    <w:rsid w:val="2CAB68C5"/>
    <w:rsid w:val="2E354AE5"/>
    <w:rsid w:val="2EBC6D03"/>
    <w:rsid w:val="2F196945"/>
    <w:rsid w:val="2F1F666C"/>
    <w:rsid w:val="2FD32A37"/>
    <w:rsid w:val="30111202"/>
    <w:rsid w:val="30551FFC"/>
    <w:rsid w:val="311F702A"/>
    <w:rsid w:val="31331DE0"/>
    <w:rsid w:val="31A82883"/>
    <w:rsid w:val="320E3E15"/>
    <w:rsid w:val="32B15B31"/>
    <w:rsid w:val="32C937E9"/>
    <w:rsid w:val="333F6AA7"/>
    <w:rsid w:val="3480359E"/>
    <w:rsid w:val="34BE4ED5"/>
    <w:rsid w:val="35476F5E"/>
    <w:rsid w:val="354D3F58"/>
    <w:rsid w:val="359A216E"/>
    <w:rsid w:val="35CB65AD"/>
    <w:rsid w:val="36631FD8"/>
    <w:rsid w:val="36C419F2"/>
    <w:rsid w:val="36E72D9B"/>
    <w:rsid w:val="36FD7080"/>
    <w:rsid w:val="379F2ED6"/>
    <w:rsid w:val="37CA172C"/>
    <w:rsid w:val="37DC2068"/>
    <w:rsid w:val="38071350"/>
    <w:rsid w:val="38224FD0"/>
    <w:rsid w:val="38E31C93"/>
    <w:rsid w:val="39775E90"/>
    <w:rsid w:val="39AC0F1B"/>
    <w:rsid w:val="39B95084"/>
    <w:rsid w:val="3A3E2041"/>
    <w:rsid w:val="3B131EF6"/>
    <w:rsid w:val="3B490D86"/>
    <w:rsid w:val="3BD74075"/>
    <w:rsid w:val="3C2F2290"/>
    <w:rsid w:val="3C5270FA"/>
    <w:rsid w:val="3E6704D2"/>
    <w:rsid w:val="3EA67C14"/>
    <w:rsid w:val="3EAD1B36"/>
    <w:rsid w:val="3F056B9E"/>
    <w:rsid w:val="3F354A62"/>
    <w:rsid w:val="3FB01289"/>
    <w:rsid w:val="3FE233B8"/>
    <w:rsid w:val="3FF54C55"/>
    <w:rsid w:val="40181F9C"/>
    <w:rsid w:val="406370BC"/>
    <w:rsid w:val="40DF388D"/>
    <w:rsid w:val="40FB7670"/>
    <w:rsid w:val="41B60000"/>
    <w:rsid w:val="423C06E2"/>
    <w:rsid w:val="42815397"/>
    <w:rsid w:val="42C94634"/>
    <w:rsid w:val="43113F5B"/>
    <w:rsid w:val="43BB29BF"/>
    <w:rsid w:val="45540446"/>
    <w:rsid w:val="458F3937"/>
    <w:rsid w:val="459F641E"/>
    <w:rsid w:val="45A93DC9"/>
    <w:rsid w:val="45BB5620"/>
    <w:rsid w:val="45EC58A2"/>
    <w:rsid w:val="45F127ED"/>
    <w:rsid w:val="46263D02"/>
    <w:rsid w:val="46CD66A0"/>
    <w:rsid w:val="472803B7"/>
    <w:rsid w:val="478411E4"/>
    <w:rsid w:val="48021DEB"/>
    <w:rsid w:val="488B59A4"/>
    <w:rsid w:val="48CC5267"/>
    <w:rsid w:val="494502E1"/>
    <w:rsid w:val="494C4325"/>
    <w:rsid w:val="49BB2867"/>
    <w:rsid w:val="4A010AC9"/>
    <w:rsid w:val="4A7F0ADF"/>
    <w:rsid w:val="4AA612F0"/>
    <w:rsid w:val="4B0D3113"/>
    <w:rsid w:val="4B660D6A"/>
    <w:rsid w:val="4B8B763E"/>
    <w:rsid w:val="4C1A730D"/>
    <w:rsid w:val="4C6B0DDA"/>
    <w:rsid w:val="4C6E1306"/>
    <w:rsid w:val="4CC946ED"/>
    <w:rsid w:val="4CF979F4"/>
    <w:rsid w:val="4D1D324D"/>
    <w:rsid w:val="4D8C0BC8"/>
    <w:rsid w:val="4E186164"/>
    <w:rsid w:val="4E247E9A"/>
    <w:rsid w:val="4E2F1033"/>
    <w:rsid w:val="4E8274B0"/>
    <w:rsid w:val="4EA65BC4"/>
    <w:rsid w:val="4EF420E3"/>
    <w:rsid w:val="4EFC1B31"/>
    <w:rsid w:val="4F2836A5"/>
    <w:rsid w:val="4FF363B3"/>
    <w:rsid w:val="501216FC"/>
    <w:rsid w:val="50B73634"/>
    <w:rsid w:val="51434E1B"/>
    <w:rsid w:val="51504FE6"/>
    <w:rsid w:val="54E90CED"/>
    <w:rsid w:val="54E91D9C"/>
    <w:rsid w:val="55A47BB4"/>
    <w:rsid w:val="5625142C"/>
    <w:rsid w:val="56B44788"/>
    <w:rsid w:val="570528AC"/>
    <w:rsid w:val="57141583"/>
    <w:rsid w:val="57BB6218"/>
    <w:rsid w:val="57FF3AAA"/>
    <w:rsid w:val="581942C3"/>
    <w:rsid w:val="58DD2EEE"/>
    <w:rsid w:val="58E96C7A"/>
    <w:rsid w:val="59263C31"/>
    <w:rsid w:val="59AD3C67"/>
    <w:rsid w:val="5A4B183F"/>
    <w:rsid w:val="5B0D630F"/>
    <w:rsid w:val="5B602150"/>
    <w:rsid w:val="5B9919B4"/>
    <w:rsid w:val="5B9E0365"/>
    <w:rsid w:val="5BB70148"/>
    <w:rsid w:val="5BF22FE4"/>
    <w:rsid w:val="5C2F1987"/>
    <w:rsid w:val="5C3C3DDC"/>
    <w:rsid w:val="5D160516"/>
    <w:rsid w:val="5D713BC5"/>
    <w:rsid w:val="5D7D0F36"/>
    <w:rsid w:val="5DB61BFF"/>
    <w:rsid w:val="5DEF454B"/>
    <w:rsid w:val="5E076A27"/>
    <w:rsid w:val="5E5A6C63"/>
    <w:rsid w:val="5F3C6712"/>
    <w:rsid w:val="5F4B58F3"/>
    <w:rsid w:val="6053481F"/>
    <w:rsid w:val="60553A8D"/>
    <w:rsid w:val="606E0DED"/>
    <w:rsid w:val="60AB2000"/>
    <w:rsid w:val="60F2599C"/>
    <w:rsid w:val="61C97391"/>
    <w:rsid w:val="61D85325"/>
    <w:rsid w:val="62860AAA"/>
    <w:rsid w:val="628B7CEE"/>
    <w:rsid w:val="629D5796"/>
    <w:rsid w:val="62B8299F"/>
    <w:rsid w:val="63FA4C5C"/>
    <w:rsid w:val="640A6F4F"/>
    <w:rsid w:val="64102A52"/>
    <w:rsid w:val="64BC6713"/>
    <w:rsid w:val="66F54088"/>
    <w:rsid w:val="671E2162"/>
    <w:rsid w:val="67C2281F"/>
    <w:rsid w:val="680C1A56"/>
    <w:rsid w:val="684F0C72"/>
    <w:rsid w:val="68D8721E"/>
    <w:rsid w:val="6A7F04CC"/>
    <w:rsid w:val="6A831914"/>
    <w:rsid w:val="6B610D05"/>
    <w:rsid w:val="6BAC21D5"/>
    <w:rsid w:val="6CED1CB3"/>
    <w:rsid w:val="6D3B42C3"/>
    <w:rsid w:val="6D5A3D63"/>
    <w:rsid w:val="6D9A4080"/>
    <w:rsid w:val="6E742120"/>
    <w:rsid w:val="6E7E575F"/>
    <w:rsid w:val="6EC27507"/>
    <w:rsid w:val="6EF15941"/>
    <w:rsid w:val="6F926461"/>
    <w:rsid w:val="6F9921A1"/>
    <w:rsid w:val="6FA453FA"/>
    <w:rsid w:val="71EA2A00"/>
    <w:rsid w:val="720B7A64"/>
    <w:rsid w:val="720F6016"/>
    <w:rsid w:val="722D6F9E"/>
    <w:rsid w:val="72B15D29"/>
    <w:rsid w:val="73407EBD"/>
    <w:rsid w:val="73932176"/>
    <w:rsid w:val="73EF4563"/>
    <w:rsid w:val="74037319"/>
    <w:rsid w:val="74175679"/>
    <w:rsid w:val="744124AA"/>
    <w:rsid w:val="74664F47"/>
    <w:rsid w:val="756E538F"/>
    <w:rsid w:val="75D950C9"/>
    <w:rsid w:val="76F41323"/>
    <w:rsid w:val="77100360"/>
    <w:rsid w:val="778222EA"/>
    <w:rsid w:val="778B4219"/>
    <w:rsid w:val="77A30DC4"/>
    <w:rsid w:val="77E0572E"/>
    <w:rsid w:val="77ED4104"/>
    <w:rsid w:val="78EF4372"/>
    <w:rsid w:val="79771B00"/>
    <w:rsid w:val="7980282D"/>
    <w:rsid w:val="798F6426"/>
    <w:rsid w:val="79B94653"/>
    <w:rsid w:val="7ACA272A"/>
    <w:rsid w:val="7ACB65F5"/>
    <w:rsid w:val="7B0E7C70"/>
    <w:rsid w:val="7B2E004A"/>
    <w:rsid w:val="7B76641B"/>
    <w:rsid w:val="7BBF1397"/>
    <w:rsid w:val="7CED52DC"/>
    <w:rsid w:val="7E6F339A"/>
    <w:rsid w:val="7E810662"/>
    <w:rsid w:val="7ED67E61"/>
    <w:rsid w:val="7F590AE3"/>
    <w:rsid w:val="7FB62C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0"/>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4"/>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3"/>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5">
    <w:name w:val="annotation text"/>
    <w:basedOn w:val="1"/>
    <w:link w:val="19"/>
    <w:uiPriority w:val="0"/>
    <w:pPr>
      <w:jc w:val="left"/>
    </w:pPr>
  </w:style>
  <w:style w:type="paragraph" w:styleId="6">
    <w:name w:val="Balloon Text"/>
    <w:basedOn w:val="1"/>
    <w:link w:val="22"/>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21"/>
    <w:uiPriority w:val="0"/>
    <w:rPr>
      <w:b/>
      <w:bCs/>
    </w:rPr>
  </w:style>
  <w:style w:type="table" w:styleId="12">
    <w:name w:val="Table Grid"/>
    <w:basedOn w:val="11"/>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7">
    <w:name w:val="样式1"/>
    <w:basedOn w:val="1"/>
    <w:next w:val="1"/>
    <w:uiPriority w:val="0"/>
    <w:pPr>
      <w:keepNext/>
      <w:keepLines/>
      <w:spacing w:before="340" w:beforeLines="0" w:after="330" w:afterLines="0" w:line="576" w:lineRule="auto"/>
      <w:outlineLvl w:val="0"/>
    </w:pPr>
    <w:rPr>
      <w:rFonts w:hint="eastAsia"/>
      <w:b/>
      <w:kern w:val="44"/>
      <w:sz w:val="44"/>
    </w:rPr>
  </w:style>
  <w:style w:type="paragraph" w:customStyle="1" w:styleId="18">
    <w:name w:val="List Paragraph"/>
    <w:basedOn w:val="1"/>
    <w:unhideWhenUsed/>
    <w:uiPriority w:val="99"/>
    <w:pPr>
      <w:ind w:firstLine="420" w:firstLineChars="200"/>
    </w:pPr>
  </w:style>
  <w:style w:type="character" w:customStyle="1" w:styleId="19">
    <w:name w:val="批注文字 Char"/>
    <w:link w:val="5"/>
    <w:uiPriority w:val="0"/>
    <w:rPr>
      <w:rFonts w:ascii="Calibri" w:hAnsi="Calibri" w:cs="黑体"/>
      <w:kern w:val="2"/>
      <w:sz w:val="21"/>
      <w:szCs w:val="24"/>
    </w:rPr>
  </w:style>
  <w:style w:type="character" w:customStyle="1" w:styleId="20">
    <w:name w:val="标题 1 Char"/>
    <w:link w:val="2"/>
    <w:uiPriority w:val="0"/>
    <w:rPr>
      <w:rFonts w:eastAsia="宋体"/>
      <w:b/>
      <w:kern w:val="44"/>
      <w:sz w:val="44"/>
    </w:rPr>
  </w:style>
  <w:style w:type="character" w:customStyle="1" w:styleId="21">
    <w:name w:val="批注主题 Char"/>
    <w:link w:val="10"/>
    <w:uiPriority w:val="0"/>
    <w:rPr>
      <w:rFonts w:ascii="Calibri" w:hAnsi="Calibri" w:cs="黑体"/>
      <w:b/>
      <w:bCs/>
      <w:kern w:val="2"/>
      <w:sz w:val="21"/>
      <w:szCs w:val="24"/>
    </w:rPr>
  </w:style>
  <w:style w:type="character" w:customStyle="1" w:styleId="22">
    <w:name w:val="批注框文本 Char"/>
    <w:link w:val="6"/>
    <w:uiPriority w:val="0"/>
    <w:rPr>
      <w:rFonts w:ascii="Calibri" w:hAnsi="Calibri" w:cs="黑体"/>
      <w:kern w:val="2"/>
      <w:sz w:val="18"/>
      <w:szCs w:val="18"/>
    </w:rPr>
  </w:style>
  <w:style w:type="character" w:customStyle="1" w:styleId="23">
    <w:name w:val="标题 3 Char"/>
    <w:link w:val="4"/>
    <w:uiPriority w:val="0"/>
    <w:rPr>
      <w:rFonts w:hAnsi="Calibri" w:eastAsia="宋体"/>
      <w:b/>
      <w:sz w:val="24"/>
    </w:rPr>
  </w:style>
  <w:style w:type="character" w:customStyle="1" w:styleId="24">
    <w:name w:val="标题 2 Char"/>
    <w:link w:val="3"/>
    <w:uiPriority w:val="0"/>
    <w:rPr>
      <w:rFonts w:ascii="Arial" w:hAnsi="Arial" w:eastAsia="宋体"/>
      <w:b/>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36473</Words>
  <Characters>38844</Characters>
  <Lines>1</Lines>
  <Paragraphs>1</Paragraphs>
  <TotalTime>0</TotalTime>
  <ScaleCrop>false</ScaleCrop>
  <LinksUpToDate>false</LinksUpToDate>
  <CharactersWithSpaces>39069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2025-02-05T07:21:26Z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