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b/>
          <w:bCs/>
          <w:highlight w:val="none"/>
        </w:rPr>
      </w:pPr>
    </w:p>
    <w:p>
      <w:pPr>
        <w:bidi w:val="0"/>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杭银理财幸福99</w:t>
      </w:r>
      <w:r>
        <w:rPr>
          <w:rFonts w:hint="eastAsia" w:ascii="宋体" w:hAnsi="宋体" w:cs="宋体"/>
          <w:b/>
          <w:bCs/>
          <w:sz w:val="44"/>
          <w:szCs w:val="44"/>
          <w:highlight w:val="none"/>
          <w:lang w:eastAsia="zh-CN"/>
        </w:rPr>
        <w:t>半年添益2004期理财</w:t>
      </w:r>
      <w:r>
        <w:rPr>
          <w:rFonts w:hint="eastAsia" w:ascii="宋体" w:hAnsi="宋体" w:eastAsia="宋体" w:cs="宋体"/>
          <w:b/>
          <w:bCs/>
          <w:sz w:val="44"/>
          <w:szCs w:val="44"/>
          <w:highlight w:val="none"/>
        </w:rPr>
        <w:t>合同</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32"/>
          <w:szCs w:val="32"/>
          <w:highlight w:val="none"/>
        </w:rPr>
      </w:pPr>
      <w:r>
        <w:rPr>
          <w:rFonts w:hint="eastAsia" w:ascii="宋体" w:hAnsi="宋体" w:cs="宋体"/>
          <w:sz w:val="32"/>
          <w:szCs w:val="32"/>
          <w:highlight w:val="none"/>
        </w:rPr>
        <w:t>理财计划管理人：杭银理财有限责任公司</w:t>
      </w:r>
    </w:p>
    <w:p>
      <w:pPr>
        <w:ind w:firstLine="1280" w:firstLineChars="400"/>
        <w:jc w:val="left"/>
        <w:rPr>
          <w:rFonts w:hint="eastAsia" w:ascii="宋体" w:hAnsi="宋体" w:cs="宋体"/>
          <w:sz w:val="32"/>
          <w:szCs w:val="32"/>
          <w:highlight w:val="none"/>
        </w:rPr>
      </w:pPr>
      <w:r>
        <w:rPr>
          <w:rFonts w:hint="eastAsia" w:ascii="宋体" w:hAnsi="宋体" w:cs="宋体"/>
          <w:sz w:val="32"/>
          <w:szCs w:val="32"/>
          <w:highlight w:val="none"/>
        </w:rPr>
        <w:t>理财计划托管人：杭州银行股份有限公司</w:t>
      </w: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pStyle w:val="2"/>
        <w:bidi w:val="0"/>
        <w:rPr>
          <w:rFonts w:hint="eastAsia" w:ascii="宋体" w:hAnsi="宋体" w:eastAsia="宋体" w:cs="宋体"/>
          <w:highlight w:val="none"/>
          <w:lang w:val="en-US" w:eastAsia="zh-CN"/>
        </w:rPr>
      </w:pPr>
      <w:r>
        <w:rPr>
          <w:rFonts w:hint="eastAsia" w:ascii="宋体" w:hAnsi="宋体" w:eastAsia="宋体" w:cs="宋体"/>
          <w:highlight w:val="none"/>
        </w:rPr>
        <w:t>杭银理财幸福99</w:t>
      </w:r>
      <w:r>
        <w:rPr>
          <w:rFonts w:hint="eastAsia" w:ascii="宋体" w:hAnsi="宋体" w:cs="宋体"/>
          <w:b/>
          <w:bCs/>
          <w:sz w:val="44"/>
          <w:szCs w:val="44"/>
          <w:highlight w:val="none"/>
          <w:lang w:eastAsia="zh-CN"/>
        </w:rPr>
        <w:t>半年添益2004期理财</w:t>
      </w:r>
      <w:r>
        <w:rPr>
          <w:rFonts w:hint="eastAsia" w:ascii="宋体" w:hAnsi="宋体" w:eastAsia="宋体" w:cs="宋体"/>
          <w:highlight w:val="none"/>
          <w:lang w:val="en-US" w:eastAsia="zh-CN"/>
        </w:rPr>
        <w:t>合同文件</w:t>
      </w:r>
    </w:p>
    <w:p>
      <w:pPr>
        <w:jc w:val="both"/>
        <w:rPr>
          <w:rFonts w:hint="eastAsia" w:ascii="宋体" w:hAnsi="宋体" w:cs="宋体"/>
          <w:sz w:val="44"/>
          <w:szCs w:val="44"/>
          <w:highlight w:val="none"/>
          <w:lang w:val="en-US" w:eastAsia="zh-CN"/>
        </w:rPr>
      </w:pPr>
    </w:p>
    <w:p>
      <w:pPr>
        <w:jc w:val="center"/>
        <w:rPr>
          <w:rFonts w:hint="eastAsia" w:ascii="宋体" w:hAnsi="宋体" w:cs="宋体"/>
          <w:sz w:val="44"/>
          <w:szCs w:val="44"/>
          <w:highlight w:val="none"/>
          <w:lang w:val="en-US" w:eastAsia="zh-CN"/>
        </w:rPr>
      </w:pPr>
    </w:p>
    <w:p>
      <w:pPr>
        <w:jc w:val="center"/>
        <w:rPr>
          <w:rFonts w:hint="eastAsia" w:ascii="宋体" w:hAnsi="宋体" w:cs="宋体"/>
          <w:sz w:val="44"/>
          <w:szCs w:val="44"/>
          <w:highlight w:val="none"/>
          <w:lang w:val="en-US" w:eastAsia="zh-CN"/>
        </w:rPr>
      </w:pPr>
    </w:p>
    <w:tbl>
      <w:tblPr>
        <w:tblStyle w:val="12"/>
        <w:tblW w:w="8191"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5160"/>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360" w:lineRule="auto"/>
              <w:jc w:val="center"/>
              <w:rPr>
                <w:rFonts w:hint="eastAsia" w:ascii="宋体" w:hAnsi="宋体" w:cs="宋体"/>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序号</w:t>
            </w:r>
          </w:p>
        </w:tc>
        <w:tc>
          <w:tcPr>
            <w:tcW w:w="5160" w:type="dxa"/>
            <w:noWrap w:val="0"/>
            <w:vAlign w:val="center"/>
          </w:tcPr>
          <w:p>
            <w:pPr>
              <w:spacing w:line="360" w:lineRule="auto"/>
              <w:jc w:val="center"/>
              <w:rPr>
                <w:rFonts w:hint="eastAsia" w:ascii="宋体" w:hAnsi="宋体" w:cs="宋体"/>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理财计划合同文件中的文件名称</w:t>
            </w:r>
          </w:p>
        </w:tc>
        <w:tc>
          <w:tcPr>
            <w:tcW w:w="2266" w:type="dxa"/>
            <w:noWrap w:val="0"/>
            <w:vAlign w:val="center"/>
          </w:tcPr>
          <w:p>
            <w:pPr>
              <w:spacing w:line="360" w:lineRule="auto"/>
              <w:jc w:val="center"/>
              <w:rPr>
                <w:rFonts w:hint="eastAsia" w:ascii="宋体" w:hAnsi="宋体" w:cs="宋体"/>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文件简称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360" w:lineRule="auto"/>
              <w:jc w:val="center"/>
              <w:rPr>
                <w:rFonts w:hint="default"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5160" w:type="dxa"/>
            <w:noWrap w:val="0"/>
            <w:vAlign w:val="center"/>
          </w:tcPr>
          <w:p>
            <w:pPr>
              <w:spacing w:line="360" w:lineRule="auto"/>
              <w:jc w:val="left"/>
              <w:rPr>
                <w:rFonts w:hint="default"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杭银理财幸福99半年添益2004期理财风险揭示书</w:t>
            </w:r>
          </w:p>
        </w:tc>
        <w:tc>
          <w:tcPr>
            <w:tcW w:w="2266" w:type="dxa"/>
            <w:noWrap w:val="0"/>
            <w:vAlign w:val="center"/>
          </w:tcPr>
          <w:p>
            <w:pPr>
              <w:spacing w:line="360" w:lineRule="auto"/>
              <w:jc w:val="center"/>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理财计划风险揭示书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360" w:lineRule="auto"/>
              <w:jc w:val="center"/>
              <w:rPr>
                <w:rFonts w:hint="default"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2</w:t>
            </w:r>
          </w:p>
        </w:tc>
        <w:tc>
          <w:tcPr>
            <w:tcW w:w="5160" w:type="dxa"/>
            <w:noWrap w:val="0"/>
            <w:vAlign w:val="center"/>
          </w:tcPr>
          <w:p>
            <w:pPr>
              <w:spacing w:line="360" w:lineRule="auto"/>
              <w:jc w:val="left"/>
              <w:rPr>
                <w:rFonts w:hint="default"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杭银理财幸福99半年添益2004期理财产品说明书</w:t>
            </w:r>
          </w:p>
        </w:tc>
        <w:tc>
          <w:tcPr>
            <w:tcW w:w="2266" w:type="dxa"/>
            <w:noWrap w:val="0"/>
            <w:vAlign w:val="center"/>
          </w:tcPr>
          <w:p>
            <w:pPr>
              <w:spacing w:line="360" w:lineRule="auto"/>
              <w:jc w:val="center"/>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理财计划产品说明书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360" w:lineRule="auto"/>
              <w:jc w:val="center"/>
              <w:rPr>
                <w:rFonts w:hint="default"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3</w:t>
            </w:r>
          </w:p>
        </w:tc>
        <w:tc>
          <w:tcPr>
            <w:tcW w:w="5160" w:type="dxa"/>
            <w:noWrap w:val="0"/>
            <w:vAlign w:val="center"/>
          </w:tcPr>
          <w:p>
            <w:pPr>
              <w:spacing w:line="360" w:lineRule="auto"/>
              <w:jc w:val="left"/>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杭银理财投资者权益须知</w:t>
            </w:r>
          </w:p>
        </w:tc>
        <w:tc>
          <w:tcPr>
            <w:tcW w:w="2266" w:type="dxa"/>
            <w:noWrap w:val="0"/>
            <w:vAlign w:val="center"/>
          </w:tcPr>
          <w:p>
            <w:pPr>
              <w:spacing w:line="360" w:lineRule="auto"/>
              <w:jc w:val="center"/>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投资者权益须知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360" w:lineRule="auto"/>
              <w:jc w:val="center"/>
              <w:rPr>
                <w:rFonts w:hint="default"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4</w:t>
            </w:r>
          </w:p>
        </w:tc>
        <w:tc>
          <w:tcPr>
            <w:tcW w:w="5160" w:type="dxa"/>
            <w:noWrap w:val="0"/>
            <w:vAlign w:val="center"/>
          </w:tcPr>
          <w:p>
            <w:pPr>
              <w:spacing w:line="360" w:lineRule="auto"/>
              <w:jc w:val="left"/>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杭银理财理财计划投资协议书</w:t>
            </w:r>
          </w:p>
        </w:tc>
        <w:tc>
          <w:tcPr>
            <w:tcW w:w="2266" w:type="dxa"/>
            <w:noWrap w:val="0"/>
            <w:vAlign w:val="center"/>
          </w:tcPr>
          <w:p>
            <w:pPr>
              <w:spacing w:line="360" w:lineRule="auto"/>
              <w:jc w:val="center"/>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理财计划投资协议书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360" w:lineRule="auto"/>
              <w:jc w:val="center"/>
              <w:rPr>
                <w:rFonts w:hint="default"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5</w:t>
            </w:r>
          </w:p>
        </w:tc>
        <w:tc>
          <w:tcPr>
            <w:tcW w:w="5160" w:type="dxa"/>
            <w:noWrap w:val="0"/>
            <w:vAlign w:val="center"/>
          </w:tcPr>
          <w:p>
            <w:pPr>
              <w:spacing w:line="360" w:lineRule="auto"/>
              <w:jc w:val="left"/>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杭银理财理财计划销售协议书</w:t>
            </w:r>
          </w:p>
        </w:tc>
        <w:tc>
          <w:tcPr>
            <w:tcW w:w="2266" w:type="dxa"/>
            <w:noWrap w:val="0"/>
            <w:vAlign w:val="center"/>
          </w:tcPr>
          <w:p>
            <w:pPr>
              <w:spacing w:line="360" w:lineRule="auto"/>
              <w:jc w:val="center"/>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理财计划销售协议书</w:t>
            </w:r>
          </w:p>
        </w:tc>
      </w:tr>
    </w:tbl>
    <w:p>
      <w:pPr>
        <w:jc w:val="center"/>
        <w:rPr>
          <w:rFonts w:hint="eastAsia" w:ascii="宋体" w:hAnsi="宋体" w:cs="宋体"/>
          <w:sz w:val="44"/>
          <w:szCs w:val="44"/>
          <w:highlight w:val="none"/>
          <w:lang w:val="en-US" w:eastAsia="zh-CN"/>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both"/>
        <w:rPr>
          <w:rFonts w:hint="eastAsia" w:ascii="宋体" w:hAnsi="宋体" w:cs="宋体"/>
          <w:sz w:val="32"/>
          <w:szCs w:val="32"/>
          <w:highlight w:val="none"/>
        </w:rPr>
      </w:pPr>
    </w:p>
    <w:p>
      <w:pPr>
        <w:jc w:val="both"/>
        <w:rPr>
          <w:rFonts w:hint="eastAsia" w:ascii="宋体" w:hAnsi="宋体" w:cs="宋体"/>
          <w:sz w:val="32"/>
          <w:szCs w:val="32"/>
          <w:highlight w:val="none"/>
        </w:rPr>
      </w:pPr>
    </w:p>
    <w:p>
      <w:pPr>
        <w:pStyle w:val="2"/>
        <w:bidi w:val="0"/>
        <w:rPr>
          <w:rFonts w:hint="eastAsia"/>
          <w:highlight w:val="none"/>
        </w:rPr>
      </w:pPr>
      <w:r>
        <w:rPr>
          <w:rFonts w:hint="eastAsia" w:ascii="宋体" w:hAnsi="宋体" w:eastAsia="宋体" w:cs="宋体"/>
          <w:b/>
          <w:highlight w:val="none"/>
        </w:rPr>
        <w:t>杭银理财幸福99</w:t>
      </w:r>
      <w:r>
        <w:rPr>
          <w:rFonts w:hint="eastAsia" w:ascii="宋体" w:hAnsi="宋体" w:cs="宋体"/>
          <w:b/>
          <w:highlight w:val="none"/>
          <w:lang w:eastAsia="zh-CN"/>
        </w:rPr>
        <w:t>半年添益2004期理财</w:t>
      </w:r>
      <w:r>
        <w:rPr>
          <w:rFonts w:hint="eastAsia" w:ascii="宋体" w:hAnsi="宋体" w:eastAsia="宋体" w:cs="宋体"/>
          <w:b/>
          <w:highlight w:val="none"/>
        </w:rPr>
        <w:t>风险揭示书</w:t>
      </w:r>
    </w:p>
    <w:p>
      <w:pPr>
        <w:jc w:val="center"/>
        <w:rPr>
          <w:rFonts w:hint="eastAsia" w:ascii="宋体" w:hAnsi="宋体" w:cs="宋体"/>
          <w:sz w:val="28"/>
          <w:szCs w:val="28"/>
          <w:highlight w:val="none"/>
        </w:rPr>
      </w:pPr>
      <w:r>
        <w:rPr>
          <w:rFonts w:hint="eastAsia" w:ascii="宋体" w:hAnsi="宋体" w:cs="宋体"/>
          <w:sz w:val="28"/>
          <w:szCs w:val="28"/>
          <w:highlight w:val="none"/>
        </w:rPr>
        <w:t>（202</w:t>
      </w:r>
      <w:r>
        <w:rPr>
          <w:rFonts w:hint="eastAsia" w:ascii="宋体" w:hAnsi="宋体" w:cs="宋体"/>
          <w:sz w:val="28"/>
          <w:szCs w:val="28"/>
          <w:highlight w:val="none"/>
          <w:lang w:val="en-US" w:eastAsia="zh-CN"/>
        </w:rPr>
        <w:t>2</w:t>
      </w:r>
      <w:r>
        <w:rPr>
          <w:rFonts w:hint="eastAsia" w:ascii="宋体" w:hAnsi="宋体" w:cs="宋体"/>
          <w:sz w:val="28"/>
          <w:szCs w:val="28"/>
          <w:highlight w:val="none"/>
        </w:rPr>
        <w:t>01版）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pStyle w:val="3"/>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highlight w:val="none"/>
        </w:rPr>
      </w:pPr>
      <w:r>
        <w:rPr>
          <w:rFonts w:hint="eastAsia"/>
          <w:highlight w:val="none"/>
        </w:rPr>
        <w:t>理财计划共性风险</w:t>
      </w:r>
    </w:p>
    <w:p>
      <w:pPr>
        <w:pStyle w:val="4"/>
        <w:numPr>
          <w:ilvl w:val="0"/>
          <w:numId w:val="2"/>
        </w:numPr>
        <w:bidi w:val="0"/>
        <w:ind w:firstLine="482" w:firstLineChars="200"/>
        <w:rPr>
          <w:highlight w:val="none"/>
        </w:rPr>
      </w:pPr>
      <w:r>
        <w:rPr>
          <w:rStyle w:val="22"/>
          <w:rFonts w:hint="eastAsia"/>
          <w:b/>
          <w:highlight w:val="none"/>
        </w:rPr>
        <w:t>信用风险：</w:t>
      </w:r>
      <w:r>
        <w:rPr>
          <w:rFonts w:hint="eastAsia"/>
          <w:highlight w:val="none"/>
        </w:rPr>
        <w:t>理财计划所投资产的相关义务人信用状况恶化，出现信用违约情形，则理财计划本金或收益蒙受部分或全部损失的风险。</w:t>
      </w:r>
    </w:p>
    <w:p>
      <w:pPr>
        <w:pStyle w:val="4"/>
        <w:numPr>
          <w:ilvl w:val="0"/>
          <w:numId w:val="2"/>
        </w:numPr>
        <w:bidi w:val="0"/>
        <w:ind w:firstLine="482" w:firstLineChars="200"/>
        <w:rPr>
          <w:rFonts w:hint="eastAsia"/>
          <w:highlight w:val="none"/>
        </w:rPr>
      </w:pPr>
      <w:r>
        <w:rPr>
          <w:rFonts w:hint="eastAsia"/>
          <w:b/>
          <w:highlight w:val="none"/>
        </w:rPr>
        <w:t>市场风险：</w:t>
      </w:r>
      <w:r>
        <w:rPr>
          <w:rFonts w:hint="eastAsia"/>
          <w:highlight w:val="none"/>
        </w:rPr>
        <w:t>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pStyle w:val="4"/>
        <w:numPr>
          <w:ilvl w:val="0"/>
          <w:numId w:val="4"/>
        </w:numPr>
        <w:bidi w:val="0"/>
        <w:ind w:firstLine="482" w:firstLineChars="200"/>
        <w:rPr>
          <w:highlight w:val="none"/>
        </w:rPr>
      </w:pPr>
      <w:r>
        <w:rPr>
          <w:rFonts w:hint="eastAsia"/>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pStyle w:val="4"/>
        <w:numPr>
          <w:ilvl w:val="0"/>
          <w:numId w:val="4"/>
        </w:numPr>
        <w:bidi w:val="0"/>
        <w:ind w:firstLine="482" w:firstLineChars="200"/>
        <w:rPr>
          <w:highlight w:val="none"/>
        </w:rPr>
      </w:pPr>
      <w:r>
        <w:rPr>
          <w:rFonts w:hint="eastAsia"/>
          <w:highlight w:val="none"/>
        </w:rPr>
        <w:t>政策风险：理财计划根据当前的相关法规和政策设计，如国家宏观政策以及相关市场法规发生变化，可能会影响理财计划的发行、投资、兑付等正常工作流程的进行，导致理财计划本金或收益蒙受部分或全部损失的风险。</w:t>
      </w:r>
    </w:p>
    <w:p>
      <w:pPr>
        <w:pStyle w:val="4"/>
        <w:numPr>
          <w:ilvl w:val="0"/>
          <w:numId w:val="4"/>
        </w:numPr>
        <w:bidi w:val="0"/>
        <w:ind w:firstLine="482" w:firstLineChars="200"/>
        <w:rPr>
          <w:highlight w:val="none"/>
        </w:rPr>
      </w:pPr>
      <w:r>
        <w:rPr>
          <w:rFonts w:hint="eastAsia"/>
          <w:highlight w:val="none"/>
        </w:rPr>
        <w:t>操作风险：理财计划由于内部作业、人员管理、系统操作、交易对手交易处理不当或失误等，导致理财计划本金或收益蒙受部分或全部损失的风险。</w:t>
      </w:r>
    </w:p>
    <w:p>
      <w:pPr>
        <w:pStyle w:val="4"/>
        <w:numPr>
          <w:ilvl w:val="0"/>
          <w:numId w:val="4"/>
        </w:numPr>
        <w:bidi w:val="0"/>
        <w:ind w:firstLine="482" w:firstLineChars="200"/>
        <w:rPr>
          <w:highlight w:val="none"/>
        </w:rPr>
      </w:pPr>
      <w:r>
        <w:rPr>
          <w:rFonts w:hint="eastAsia"/>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pStyle w:val="4"/>
        <w:numPr>
          <w:ilvl w:val="0"/>
          <w:numId w:val="4"/>
        </w:numPr>
        <w:bidi w:val="0"/>
        <w:ind w:firstLine="482" w:firstLineChars="200"/>
        <w:rPr>
          <w:highlight w:val="none"/>
        </w:rPr>
      </w:pPr>
      <w:r>
        <w:rPr>
          <w:rFonts w:hint="eastAsia"/>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pStyle w:val="4"/>
        <w:numPr>
          <w:ilvl w:val="0"/>
          <w:numId w:val="4"/>
        </w:numPr>
        <w:bidi w:val="0"/>
        <w:ind w:firstLine="482" w:firstLineChars="200"/>
        <w:rPr>
          <w:highlight w:val="none"/>
        </w:rPr>
      </w:pPr>
      <w:r>
        <w:rPr>
          <w:rFonts w:hint="eastAsia"/>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pStyle w:val="4"/>
        <w:numPr>
          <w:ilvl w:val="0"/>
          <w:numId w:val="4"/>
        </w:numPr>
        <w:bidi w:val="0"/>
        <w:ind w:firstLine="482" w:firstLineChars="200"/>
        <w:rPr>
          <w:highlight w:val="none"/>
        </w:rPr>
      </w:pPr>
      <w:r>
        <w:rPr>
          <w:rFonts w:hint="eastAsia"/>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ind w:firstLine="482" w:firstLineChars="200"/>
        <w:jc w:val="left"/>
        <w:outlineLvl w:val="2"/>
        <w:rPr>
          <w:rFonts w:hint="eastAsia" w:ascii="Calibri" w:hAnsi="Calibri" w:eastAsia="宋体" w:cs="黑体"/>
          <w:b/>
          <w:kern w:val="2"/>
          <w:sz w:val="24"/>
          <w:szCs w:val="24"/>
          <w:highlight w:val="none"/>
          <w:lang w:val="en-US" w:eastAsia="zh-CN" w:bidi="ar-SA"/>
        </w:rPr>
      </w:pPr>
      <w:r>
        <w:rPr>
          <w:rStyle w:val="21"/>
          <w:rFonts w:hint="eastAsia"/>
          <w:highlight w:val="none"/>
          <w:lang w:val="en-US" w:eastAsia="zh-CN"/>
        </w:rPr>
        <w:t>信息传递风险：</w:t>
      </w:r>
      <w:r>
        <w:rPr>
          <w:rFonts w:hint="eastAsia"/>
          <w:b/>
          <w:bCs/>
          <w:highlight w:val="none"/>
          <w:lang w:val="en-US" w:eastAsia="zh-CN"/>
        </w:rPr>
        <w:t>由于投资者未能及时主动了解理财计划信息，或由于通信故障、系统故障以及其他不可抗力等因素的影响，使得投资者无法及时了解理财计划信息，而导致投资者无法及时做出合理决策，导致理财计划本金或收益蒙受部分或全部损失的风险。</w:t>
      </w:r>
    </w:p>
    <w:p>
      <w:pPr>
        <w:pStyle w:val="4"/>
        <w:numPr>
          <w:ilvl w:val="0"/>
          <w:numId w:val="4"/>
        </w:numPr>
        <w:bidi w:val="0"/>
        <w:rPr>
          <w:highlight w:val="none"/>
        </w:rPr>
      </w:pPr>
      <w:r>
        <w:rPr>
          <w:rFonts w:hint="eastAsia"/>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highlight w:val="none"/>
          <w:lang w:eastAsia="zh-CN"/>
        </w:rPr>
        <w:t>理</w:t>
      </w:r>
      <w:r>
        <w:rPr>
          <w:rFonts w:hint="eastAsia"/>
          <w:highlight w:val="none"/>
        </w:rPr>
        <w:t>财计划本金或收益蒙受部分或全部损失的风险。</w:t>
      </w:r>
    </w:p>
    <w:p>
      <w:pPr>
        <w:numPr>
          <w:ilvl w:val="0"/>
          <w:numId w:val="4"/>
        </w:numPr>
        <w:spacing w:line="360" w:lineRule="auto"/>
        <w:ind w:firstLine="482" w:firstLineChars="200"/>
        <w:jc w:val="left"/>
        <w:outlineLvl w:val="2"/>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ind w:firstLine="482" w:firstLineChars="200"/>
        <w:jc w:val="left"/>
        <w:outlineLvl w:val="2"/>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建仓期风险：如理财计划设置建仓期，则在建仓期内理财计划的投资比例可能无法满足约定的投资比例限制，从而影响对理财计划收益产生影响。</w:t>
      </w:r>
    </w:p>
    <w:p>
      <w:pPr>
        <w:numPr>
          <w:ilvl w:val="0"/>
          <w:numId w:val="4"/>
        </w:numPr>
        <w:spacing w:line="360" w:lineRule="auto"/>
        <w:ind w:firstLine="482" w:firstLineChars="200"/>
        <w:jc w:val="left"/>
        <w:outlineLvl w:val="2"/>
        <w:rPr>
          <w:rFonts w:ascii="宋体" w:hAnsi="宋体" w:cs="宋体"/>
          <w:b/>
          <w:sz w:val="24"/>
          <w:highlight w:val="none"/>
        </w:rPr>
      </w:pPr>
      <w:r>
        <w:rPr>
          <w:rFonts w:hint="eastAsia" w:ascii="宋体" w:hAnsi="宋体" w:cs="宋体"/>
          <w:b/>
          <w:sz w:val="24"/>
          <w:highlight w:val="none"/>
        </w:rPr>
        <w:t>代销风险：本理财计划通过代销渠道销售，投资者认</w:t>
      </w:r>
      <w:r>
        <w:rPr>
          <w:rFonts w:hint="eastAsia" w:ascii="宋体" w:hAnsi="宋体" w:cs="宋体"/>
          <w:b/>
          <w:sz w:val="24"/>
          <w:highlight w:val="none"/>
          <w:lang w:val="en-US" w:eastAsia="zh-CN"/>
        </w:rPr>
        <w:t>/申</w:t>
      </w:r>
      <w:r>
        <w:rPr>
          <w:rFonts w:hint="eastAsia" w:ascii="宋体" w:hAnsi="宋体" w:cs="宋体"/>
          <w:b/>
          <w:sz w:val="24"/>
          <w:highlight w:val="none"/>
        </w:rPr>
        <w:t>购理财计划的资金由销售机构从投资者资金账户扣收；理财计划到期</w:t>
      </w:r>
      <w:r>
        <w:rPr>
          <w:rFonts w:hint="eastAsia" w:ascii="宋体" w:hAnsi="宋体" w:cs="宋体"/>
          <w:b/>
          <w:sz w:val="24"/>
          <w:highlight w:val="none"/>
          <w:lang w:val="en-US" w:eastAsia="zh-CN"/>
        </w:rPr>
        <w:t>/赎回</w:t>
      </w:r>
      <w:r>
        <w:rPr>
          <w:rFonts w:hint="eastAsia" w:ascii="宋体" w:hAnsi="宋体" w:cs="宋体"/>
          <w:b/>
          <w:sz w:val="24"/>
          <w:highlight w:val="none"/>
        </w:rPr>
        <w:t>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2"/>
        <w:rPr>
          <w:rFonts w:ascii="宋体" w:hAnsi="宋体" w:cs="宋体"/>
          <w:b/>
          <w:sz w:val="24"/>
          <w:highlight w:val="none"/>
        </w:rPr>
      </w:pPr>
      <w:r>
        <w:rPr>
          <w:rFonts w:ascii="宋体" w:hAnsi="宋体" w:cs="宋体"/>
          <w:b/>
          <w:sz w:val="24"/>
          <w:highlight w:val="none"/>
        </w:rPr>
        <w:t>关联关系风险：本理财</w:t>
      </w:r>
      <w:r>
        <w:rPr>
          <w:rFonts w:hint="eastAsia" w:ascii="宋体" w:hAnsi="宋体" w:cs="宋体"/>
          <w:b/>
          <w:sz w:val="24"/>
          <w:highlight w:val="none"/>
          <w:lang w:eastAsia="zh-CN"/>
        </w:rPr>
        <w:t>计划</w:t>
      </w:r>
      <w:r>
        <w:rPr>
          <w:rFonts w:ascii="宋体" w:hAnsi="宋体" w:cs="宋体"/>
          <w:b/>
          <w:sz w:val="24"/>
          <w:highlight w:val="none"/>
        </w:rPr>
        <w:t>销售机构</w:t>
      </w:r>
      <w:r>
        <w:rPr>
          <w:rFonts w:hint="eastAsia" w:ascii="宋体" w:hAnsi="宋体" w:cs="宋体"/>
          <w:b/>
          <w:sz w:val="24"/>
          <w:highlight w:val="none"/>
          <w:lang w:eastAsia="zh-CN"/>
        </w:rPr>
        <w:t>之一</w:t>
      </w:r>
      <w:r>
        <w:rPr>
          <w:rFonts w:ascii="宋体" w:hAnsi="宋体" w:cs="宋体"/>
          <w:b/>
          <w:sz w:val="24"/>
          <w:highlight w:val="none"/>
        </w:rPr>
        <w:t>为杭州银行股份有限公司，杭银理财系杭州银行全资子公司，双方存在关联关系。杭州银行作为本理财</w:t>
      </w:r>
      <w:r>
        <w:rPr>
          <w:rFonts w:hint="eastAsia" w:ascii="宋体" w:hAnsi="宋体" w:cs="宋体"/>
          <w:b/>
          <w:sz w:val="24"/>
          <w:highlight w:val="none"/>
          <w:lang w:eastAsia="zh-CN"/>
        </w:rPr>
        <w:t>计划</w:t>
      </w:r>
      <w:r>
        <w:rPr>
          <w:rFonts w:ascii="宋体" w:hAnsi="宋体" w:cs="宋体"/>
          <w:b/>
          <w:sz w:val="24"/>
          <w:highlight w:val="none"/>
        </w:rPr>
        <w:t>销售机构将按照法律法规、监管规定，执行不低于代理销售其他机构发行管理的理财产品的准入标准、风险评级、销售管理等要求；杭州银行作为销售机构不保证本</w:t>
      </w:r>
      <w:r>
        <w:rPr>
          <w:rFonts w:hint="eastAsia" w:ascii="宋体" w:hAnsi="宋体" w:cs="宋体"/>
          <w:b/>
          <w:sz w:val="24"/>
          <w:highlight w:val="none"/>
          <w:lang w:eastAsia="zh-CN"/>
        </w:rPr>
        <w:t>理财计划</w:t>
      </w:r>
      <w:r>
        <w:rPr>
          <w:rFonts w:ascii="宋体" w:hAnsi="宋体" w:cs="宋体"/>
          <w:b/>
          <w:sz w:val="24"/>
          <w:highlight w:val="none"/>
        </w:rPr>
        <w:t>收益，不承担</w:t>
      </w:r>
      <w:r>
        <w:rPr>
          <w:rFonts w:hint="eastAsia" w:ascii="宋体" w:hAnsi="宋体" w:cs="宋体"/>
          <w:b/>
          <w:sz w:val="24"/>
          <w:highlight w:val="none"/>
          <w:lang w:eastAsia="zh-CN"/>
        </w:rPr>
        <w:t>理财计划</w:t>
      </w:r>
      <w:r>
        <w:rPr>
          <w:rFonts w:ascii="宋体" w:hAnsi="宋体" w:cs="宋体"/>
          <w:b/>
          <w:sz w:val="24"/>
          <w:highlight w:val="none"/>
        </w:rPr>
        <w:t>的投资、兑付和风险管理责任。</w:t>
      </w:r>
    </w:p>
    <w:p>
      <w:pPr>
        <w:numPr>
          <w:ilvl w:val="0"/>
          <w:numId w:val="1"/>
        </w:numPr>
        <w:spacing w:line="360" w:lineRule="auto"/>
        <w:ind w:firstLine="482" w:firstLineChars="200"/>
        <w:jc w:val="left"/>
        <w:outlineLvl w:val="1"/>
        <w:rPr>
          <w:rFonts w:ascii="宋体" w:hAnsi="宋体" w:cs="宋体"/>
          <w:b/>
          <w:sz w:val="24"/>
          <w:highlight w:val="none"/>
        </w:rPr>
      </w:pPr>
      <w:r>
        <w:rPr>
          <w:rFonts w:hint="eastAsia" w:ascii="宋体" w:hAnsi="宋体" w:cs="宋体"/>
          <w:b/>
          <w:sz w:val="24"/>
          <w:highlight w:val="none"/>
        </w:rPr>
        <w:t>理财计划特定风险</w:t>
      </w:r>
    </w:p>
    <w:p>
      <w:pPr>
        <w:numPr>
          <w:ilvl w:val="0"/>
          <w:numId w:val="5"/>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资金流动性风险：本理财</w:t>
      </w:r>
      <w:r>
        <w:rPr>
          <w:rFonts w:hint="eastAsia" w:ascii="宋体" w:hAnsi="宋体" w:cs="宋体"/>
          <w:b/>
          <w:sz w:val="24"/>
          <w:highlight w:val="none"/>
          <w:lang w:val="en-US" w:eastAsia="zh-CN"/>
        </w:rPr>
        <w:t>计划</w:t>
      </w:r>
      <w:r>
        <w:rPr>
          <w:rFonts w:hint="eastAsia" w:ascii="宋体" w:hAnsi="宋体" w:cs="宋体"/>
          <w:b/>
          <w:sz w:val="24"/>
          <w:highlight w:val="none"/>
        </w:rPr>
        <w:t>定期开放申购、赎回，非开放期内投资者不得提前交易。</w:t>
      </w:r>
    </w:p>
    <w:p>
      <w:pPr>
        <w:numPr>
          <w:ilvl w:val="0"/>
          <w:numId w:val="5"/>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收益不达业绩比较基准风险：业绩比较基准并非预测收益，不代表产品的未来表现和实际收益；本理财</w:t>
      </w:r>
      <w:r>
        <w:rPr>
          <w:rFonts w:hint="eastAsia" w:ascii="宋体" w:hAnsi="宋体" w:cs="宋体"/>
          <w:b/>
          <w:sz w:val="24"/>
          <w:highlight w:val="none"/>
          <w:lang w:val="en-US" w:eastAsia="zh-CN"/>
        </w:rPr>
        <w:t>计划</w:t>
      </w:r>
      <w:r>
        <w:rPr>
          <w:rFonts w:hint="eastAsia" w:ascii="宋体" w:hAnsi="宋体" w:cs="宋体"/>
          <w:b/>
          <w:sz w:val="24"/>
          <w:highlight w:val="none"/>
        </w:rPr>
        <w:t>的投资收益与投资者的申购、赎回时点密切相关，收益存在一定的波动性，产品本金出现损失的可能性不容忽视。</w:t>
      </w:r>
    </w:p>
    <w:p>
      <w:p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上述理财计划共性与特定风险发生时，投资者的本金及收益可能遭受损失，在最不利情形下，将损失全部本金及收益，由此产生的风险及损失将由投资者自行承担。</w:t>
      </w:r>
    </w:p>
    <w:p>
      <w:pPr>
        <w:numPr>
          <w:ilvl w:val="0"/>
          <w:numId w:val="1"/>
        </w:numPr>
        <w:spacing w:line="360" w:lineRule="auto"/>
        <w:ind w:firstLine="482" w:firstLineChars="200"/>
        <w:jc w:val="left"/>
        <w:outlineLvl w:val="1"/>
        <w:rPr>
          <w:rFonts w:ascii="宋体" w:hAnsi="宋体" w:cs="宋体"/>
          <w:b/>
          <w:sz w:val="24"/>
          <w:highlight w:val="none"/>
        </w:rPr>
      </w:pPr>
      <w:r>
        <w:rPr>
          <w:rFonts w:hint="eastAsia" w:ascii="宋体" w:hAnsi="宋体" w:cs="宋体"/>
          <w:b/>
          <w:sz w:val="24"/>
          <w:highlight w:val="none"/>
        </w:rPr>
        <w:t>其他信息提示</w:t>
      </w:r>
    </w:p>
    <w:p>
      <w:pPr>
        <w:spacing w:line="360" w:lineRule="auto"/>
        <w:ind w:firstLine="480" w:firstLineChars="200"/>
        <w:jc w:val="left"/>
        <w:rPr>
          <w:rFonts w:ascii="宋体" w:hAnsi="宋体" w:cs="宋体"/>
          <w:b/>
          <w:sz w:val="24"/>
          <w:highlight w:val="none"/>
        </w:rPr>
      </w:pP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ind w:firstLine="482" w:firstLineChars="200"/>
        <w:jc w:val="left"/>
        <w:outlineLvl w:val="2"/>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ind w:firstLine="482" w:firstLineChars="200"/>
        <w:jc w:val="left"/>
        <w:outlineLvl w:val="2"/>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ind w:firstLine="482" w:firstLineChars="200"/>
        <w:jc w:val="left"/>
        <w:outlineLvl w:val="2"/>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本理财计划为公募、开放式、〖</w:t>
      </w:r>
      <w:r>
        <w:rPr>
          <w:rFonts w:hint="eastAsia" w:ascii="宋体" w:hAnsi="宋体" w:cs="宋体"/>
          <w:b/>
          <w:sz w:val="24"/>
          <w:highlight w:val="none"/>
          <w:lang w:val="en-US" w:eastAsia="zh-CN"/>
        </w:rPr>
        <w:t>固定收益</w:t>
      </w:r>
      <w:r>
        <w:rPr>
          <w:rFonts w:hint="eastAsia" w:ascii="宋体" w:hAnsi="宋体" w:cs="宋体"/>
          <w:b/>
          <w:sz w:val="24"/>
          <w:highlight w:val="none"/>
        </w:rPr>
        <w:t>类〗净值型理财计划，〖</w:t>
      </w:r>
      <w:r>
        <w:rPr>
          <w:rFonts w:hint="eastAsia" w:ascii="宋体" w:hAnsi="宋体" w:cs="宋体"/>
          <w:b/>
          <w:sz w:val="24"/>
          <w:highlight w:val="none"/>
          <w:lang w:eastAsia="zh-CN"/>
        </w:rPr>
        <w:t>无固定期限</w:t>
      </w:r>
      <w:r>
        <w:rPr>
          <w:rFonts w:hint="eastAsia" w:ascii="宋体" w:hAnsi="宋体" w:cs="宋体"/>
          <w:b/>
          <w:sz w:val="24"/>
          <w:highlight w:val="none"/>
        </w:rPr>
        <w:t>〗，不保证本金与收益。根据本公司理财产品内部风险评级，该理财计划风险评级结果为〖R</w:t>
      </w:r>
      <w:r>
        <w:rPr>
          <w:rFonts w:hint="eastAsia" w:ascii="宋体" w:hAnsi="宋体" w:cs="宋体"/>
          <w:b/>
          <w:sz w:val="24"/>
          <w:highlight w:val="none"/>
          <w:lang w:val="en-US" w:eastAsia="zh-CN"/>
        </w:rPr>
        <w:t>2</w:t>
      </w:r>
      <w:r>
        <w:rPr>
          <w:rFonts w:hint="eastAsia" w:ascii="宋体" w:hAnsi="宋体" w:cs="宋体"/>
          <w:b/>
          <w:sz w:val="24"/>
          <w:highlight w:val="none"/>
        </w:rPr>
        <w:t>〗,〖</w:t>
      </w:r>
      <w:r>
        <w:rPr>
          <w:rFonts w:hint="eastAsia" w:ascii="宋体" w:hAnsi="宋体" w:cs="宋体"/>
          <w:b/>
          <w:sz w:val="24"/>
          <w:highlight w:val="none"/>
          <w:lang w:val="en-US" w:eastAsia="zh-CN"/>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eastAsia="zh-CN"/>
        </w:rPr>
        <w:t>，</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总体风险〖程度较低，收益波动较小，虽然存在一些可能对产品本金和收益安全产生不利影响的因素，但产品本金出现损失的可能性较小〗。</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本理财计划适合〖机构投资者〗以及〖稳健型、平衡型、成长型、进取型〗的个人投资者</w:t>
      </w:r>
      <w:r>
        <w:rPr>
          <w:rFonts w:hint="eastAsia" w:ascii="宋体" w:hAnsi="宋体" w:cs="宋体"/>
          <w:b/>
          <w:sz w:val="24"/>
          <w:highlight w:val="none"/>
          <w:lang w:eastAsia="zh-CN"/>
        </w:rPr>
        <w:t>，</w:t>
      </w:r>
      <w:r>
        <w:rPr>
          <w:rFonts w:hint="eastAsia" w:ascii="宋体" w:hAnsi="宋体" w:cs="宋体"/>
          <w:b/>
          <w:sz w:val="24"/>
          <w:highlight w:val="none"/>
          <w:lang w:val="en-US" w:eastAsia="zh-CN"/>
        </w:rPr>
        <w:t>个人投资者的风险承受能力评估以销售机构为准</w:t>
      </w:r>
      <w:r>
        <w:rPr>
          <w:rFonts w:hint="eastAsia" w:ascii="宋体" w:hAnsi="宋体" w:cs="宋体"/>
          <w:b/>
          <w:sz w:val="24"/>
          <w:highlight w:val="none"/>
        </w:rPr>
        <w:t>。</w:t>
      </w:r>
      <w:r>
        <w:rPr>
          <w:rFonts w:hint="eastAsia" w:ascii="宋体" w:hAnsi="宋体" w:cs="宋体"/>
          <w:bCs/>
          <w:sz w:val="24"/>
          <w:highlight w:val="none"/>
        </w:rPr>
        <w:t>本理财计划投资者适当性评估由销售机构负责，销售机构应确保个人投资者的风险承受能力不低于本理财计划风险评级。</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上述风险客观存在，敬请投资者予以充分关注！</w:t>
      </w:r>
    </w:p>
    <w:p>
      <w:pPr>
        <w:spacing w:line="360" w:lineRule="auto"/>
        <w:ind w:firstLine="480" w:firstLineChars="200"/>
        <w:jc w:val="righ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Cs/>
          <w:sz w:val="24"/>
          <w:highlight w:val="none"/>
        </w:rPr>
      </w:pPr>
    </w:p>
    <w:p>
      <w:pPr>
        <w:spacing w:line="360" w:lineRule="auto"/>
        <w:ind w:firstLine="480" w:firstLineChars="200"/>
        <w:jc w:val="right"/>
        <w:rPr>
          <w:rFonts w:hint="eastAsia" w:ascii="宋体" w:hAnsi="宋体" w:cs="宋体"/>
          <w:bCs/>
          <w:sz w:val="24"/>
          <w:highlight w:val="none"/>
        </w:rPr>
      </w:pPr>
      <w:r>
        <w:rPr>
          <w:rFonts w:hint="eastAsia" w:ascii="宋体" w:hAnsi="宋体" w:cs="宋体"/>
          <w:bCs/>
          <w:sz w:val="24"/>
          <w:highlight w:val="none"/>
        </w:rPr>
        <w:t>风险提示方：杭银理财有限责任公司</w:t>
      </w:r>
    </w:p>
    <w:p>
      <w:pPr>
        <w:spacing w:line="360" w:lineRule="auto"/>
        <w:jc w:val="both"/>
        <w:rPr>
          <w:rFonts w:hint="eastAsia" w:ascii="宋体" w:hAnsi="宋体" w:cs="宋体"/>
          <w:bCs/>
          <w:sz w:val="24"/>
          <w:highlight w:val="none"/>
        </w:rPr>
      </w:pPr>
    </w:p>
    <w:p>
      <w:pPr>
        <w:pStyle w:val="16"/>
        <w:spacing w:line="360" w:lineRule="auto"/>
        <w:jc w:val="both"/>
        <w:rPr>
          <w:rFonts w:hint="eastAsia" w:ascii="宋体" w:hAnsi="宋体" w:cs="宋体"/>
          <w:b/>
          <w:color w:val="auto"/>
          <w:highlight w:val="none"/>
        </w:rPr>
      </w:pPr>
    </w:p>
    <w:p>
      <w:pPr>
        <w:pStyle w:val="16"/>
        <w:spacing w:line="360" w:lineRule="auto"/>
        <w:ind w:firstLine="482" w:firstLineChars="200"/>
        <w:jc w:val="center"/>
        <w:outlineLvl w:val="1"/>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16"/>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16"/>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16"/>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w:t>
      </w:r>
      <w:r>
        <w:rPr>
          <w:rFonts w:hint="eastAsia" w:ascii="宋体" w:hAnsi="宋体" w:cs="宋体"/>
          <w:b w:val="0"/>
          <w:bCs w:val="0"/>
          <w:color w:val="auto"/>
          <w:highlight w:val="none"/>
          <w:u w:val="single"/>
        </w:rPr>
        <w:t>风险</w:t>
      </w:r>
      <w:r>
        <w:rPr>
          <w:rFonts w:hint="eastAsia" w:ascii="宋体" w:hAnsi="宋体" w:cs="宋体"/>
          <w:color w:val="auto"/>
          <w:highlight w:val="none"/>
          <w:u w:val="single"/>
        </w:rPr>
        <w:t>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16"/>
        <w:spacing w:line="360" w:lineRule="auto"/>
        <w:ind w:firstLine="482" w:firstLineChars="200"/>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16"/>
        <w:spacing w:line="360" w:lineRule="auto"/>
        <w:ind w:firstLine="482" w:firstLineChars="200"/>
        <w:jc w:val="both"/>
        <w:rPr>
          <w:rFonts w:hint="eastAsia"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16"/>
        <w:spacing w:line="360" w:lineRule="auto"/>
        <w:ind w:firstLine="480" w:firstLineChars="20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16"/>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cs="宋体"/>
          <w:kern w:val="0"/>
          <w:sz w:val="24"/>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pStyle w:val="16"/>
        <w:spacing w:line="360" w:lineRule="auto"/>
        <w:ind w:firstLine="482" w:firstLineChars="200"/>
        <w:jc w:val="center"/>
        <w:rPr>
          <w:rFonts w:hint="eastAsia" w:ascii="宋体" w:hAnsi="宋体" w:eastAsia="宋体" w:cs="宋体"/>
          <w:b/>
          <w:bCs/>
          <w:color w:val="auto"/>
          <w:highlight w:val="none"/>
          <w:u w:val="none"/>
        </w:rPr>
      </w:pPr>
    </w:p>
    <w:p>
      <w:pPr>
        <w:pStyle w:val="16"/>
        <w:spacing w:line="360" w:lineRule="auto"/>
        <w:ind w:firstLine="482" w:firstLineChars="200"/>
        <w:jc w:val="center"/>
        <w:rPr>
          <w:rFonts w:hint="eastAsia" w:ascii="宋体" w:hAnsi="宋体" w:eastAsia="宋体" w:cs="宋体"/>
          <w:b/>
          <w:bCs/>
          <w:color w:val="auto"/>
          <w:highlight w:val="none"/>
          <w:u w:val="none"/>
        </w:rPr>
      </w:pPr>
    </w:p>
    <w:p>
      <w:pPr>
        <w:pStyle w:val="16"/>
        <w:spacing w:line="360" w:lineRule="auto"/>
        <w:ind w:firstLine="482" w:firstLineChars="200"/>
        <w:jc w:val="center"/>
        <w:rPr>
          <w:rFonts w:hint="eastAsia" w:ascii="宋体" w:hAnsi="宋体" w:eastAsia="宋体" w:cs="宋体"/>
          <w:b/>
          <w:bCs/>
          <w:color w:val="auto"/>
          <w:highlight w:val="none"/>
          <w:u w:val="none"/>
        </w:rPr>
      </w:pPr>
    </w:p>
    <w:p>
      <w:pPr>
        <w:pStyle w:val="16"/>
        <w:spacing w:line="360" w:lineRule="auto"/>
        <w:ind w:firstLine="482" w:firstLineChars="200"/>
        <w:jc w:val="center"/>
        <w:rPr>
          <w:rFonts w:hint="eastAsia" w:ascii="宋体" w:hAnsi="宋体" w:eastAsia="宋体" w:cs="宋体"/>
          <w:b/>
          <w:bCs/>
          <w:color w:val="auto"/>
          <w:highlight w:val="none"/>
          <w:u w:val="none"/>
        </w:rPr>
      </w:pPr>
    </w:p>
    <w:p>
      <w:pPr>
        <w:pStyle w:val="16"/>
        <w:spacing w:line="360" w:lineRule="auto"/>
        <w:ind w:firstLine="482" w:firstLineChars="200"/>
        <w:jc w:val="center"/>
        <w:rPr>
          <w:rFonts w:hint="eastAsia" w:ascii="宋体" w:hAnsi="宋体" w:eastAsia="宋体" w:cs="宋体"/>
          <w:b/>
          <w:bCs/>
          <w:color w:val="auto"/>
          <w:highlight w:val="none"/>
          <w:u w:val="none"/>
        </w:rPr>
      </w:pPr>
    </w:p>
    <w:p>
      <w:pPr>
        <w:pStyle w:val="16"/>
        <w:spacing w:line="360" w:lineRule="auto"/>
        <w:ind w:firstLine="482" w:firstLineChars="200"/>
        <w:jc w:val="center"/>
        <w:rPr>
          <w:rFonts w:hint="eastAsia" w:ascii="宋体" w:hAnsi="宋体" w:eastAsia="宋体" w:cs="宋体"/>
          <w:b/>
          <w:bCs/>
          <w:color w:val="auto"/>
          <w:highlight w:val="none"/>
          <w:u w:val="none"/>
        </w:rPr>
      </w:pPr>
    </w:p>
    <w:p>
      <w:pPr>
        <w:pStyle w:val="16"/>
        <w:spacing w:line="360" w:lineRule="auto"/>
        <w:ind w:firstLine="482" w:firstLineChars="200"/>
        <w:jc w:val="center"/>
        <w:outlineLvl w:val="1"/>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16"/>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16"/>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6"/>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6"/>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6"/>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6"/>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6"/>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16"/>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6"/>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6"/>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6"/>
        <w:spacing w:line="360" w:lineRule="auto"/>
        <w:ind w:firstLine="480" w:firstLineChars="200"/>
        <w:jc w:val="right"/>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pStyle w:val="16"/>
        <w:spacing w:line="360" w:lineRule="auto"/>
        <w:ind w:firstLine="482" w:firstLineChars="200"/>
        <w:jc w:val="both"/>
        <w:rPr>
          <w:rFonts w:hint="eastAsia" w:ascii="宋体" w:hAnsi="宋体" w:eastAsia="宋体" w:cs="宋体"/>
          <w:b/>
          <w:bCs/>
          <w:color w:val="auto"/>
          <w:highlight w:val="none"/>
          <w:u w:val="none"/>
          <w:lang w:val="en-US" w:eastAsia="zh-CN"/>
        </w:rPr>
      </w:pPr>
    </w:p>
    <w:p>
      <w:pPr>
        <w:pStyle w:val="16"/>
        <w:spacing w:line="360" w:lineRule="auto"/>
        <w:ind w:firstLine="482" w:firstLineChars="200"/>
        <w:jc w:val="both"/>
        <w:rPr>
          <w:rFonts w:hint="eastAsia" w:ascii="宋体" w:hAnsi="宋体" w:eastAsia="宋体" w:cs="宋体"/>
          <w:b/>
          <w:bCs/>
          <w:color w:val="auto"/>
          <w:highlight w:val="none"/>
          <w:u w:val="single"/>
          <w:lang w:val="en-US" w:eastAsia="zh-CN"/>
        </w:rPr>
      </w:pPr>
    </w:p>
    <w:p>
      <w:pPr>
        <w:jc w:val="center"/>
        <w:outlineLvl w:val="0"/>
        <w:rPr>
          <w:rFonts w:hint="eastAsia" w:ascii="宋体" w:hAnsi="宋体" w:cs="宋体"/>
          <w:b/>
          <w:bCs/>
          <w:sz w:val="44"/>
          <w:szCs w:val="44"/>
          <w:highlight w:val="none"/>
        </w:rPr>
      </w:pPr>
      <w:r>
        <w:rPr>
          <w:rFonts w:hint="eastAsia" w:ascii="宋体" w:hAnsi="宋体" w:cs="宋体"/>
          <w:b/>
          <w:bCs/>
          <w:sz w:val="44"/>
          <w:szCs w:val="44"/>
          <w:highlight w:val="none"/>
        </w:rPr>
        <w:br w:type="page"/>
      </w:r>
      <w:r>
        <w:rPr>
          <w:rFonts w:hint="eastAsia" w:ascii="宋体" w:hAnsi="宋体" w:cs="宋体"/>
          <w:b/>
          <w:bCs/>
          <w:sz w:val="44"/>
          <w:szCs w:val="44"/>
          <w:highlight w:val="none"/>
        </w:rPr>
        <w:t>杭银理财幸福99</w:t>
      </w:r>
      <w:r>
        <w:rPr>
          <w:rFonts w:hint="eastAsia" w:ascii="宋体" w:hAnsi="宋体" w:cs="宋体"/>
          <w:b/>
          <w:bCs/>
          <w:sz w:val="44"/>
          <w:szCs w:val="44"/>
          <w:highlight w:val="none"/>
          <w:lang w:eastAsia="zh-CN"/>
        </w:rPr>
        <w:t>半年添益2004期理财</w:t>
      </w:r>
      <w:r>
        <w:rPr>
          <w:rFonts w:hint="eastAsia" w:ascii="宋体" w:hAnsi="宋体" w:cs="宋体"/>
          <w:b/>
          <w:bCs/>
          <w:sz w:val="44"/>
          <w:szCs w:val="44"/>
          <w:highlight w:val="none"/>
        </w:rPr>
        <w:t>产品说明书</w:t>
      </w:r>
    </w:p>
    <w:p>
      <w:pPr>
        <w:jc w:val="center"/>
        <w:rPr>
          <w:rFonts w:hint="eastAsia" w:ascii="宋体" w:hAnsi="宋体" w:cs="宋体"/>
          <w:b/>
          <w:bCs/>
          <w:sz w:val="44"/>
          <w:szCs w:val="44"/>
          <w:highlight w:val="none"/>
        </w:rPr>
      </w:pPr>
      <w:r>
        <w:rPr>
          <w:rFonts w:hint="eastAsia" w:ascii="宋体" w:hAnsi="宋体" w:cs="宋体"/>
          <w:sz w:val="28"/>
          <w:szCs w:val="28"/>
          <w:highlight w:val="none"/>
        </w:rPr>
        <w:t>（202</w:t>
      </w:r>
      <w:r>
        <w:rPr>
          <w:rFonts w:hint="eastAsia" w:ascii="宋体" w:hAnsi="宋体" w:cs="宋体"/>
          <w:sz w:val="28"/>
          <w:szCs w:val="28"/>
          <w:highlight w:val="none"/>
          <w:lang w:val="en-US" w:eastAsia="zh-CN"/>
        </w:rPr>
        <w:t>2</w:t>
      </w:r>
      <w:r>
        <w:rPr>
          <w:rFonts w:hint="eastAsia" w:ascii="宋体" w:hAnsi="宋体" w:cs="宋体"/>
          <w:sz w:val="28"/>
          <w:szCs w:val="28"/>
          <w:highlight w:val="none"/>
        </w:rPr>
        <w:t>01版）</w:t>
      </w:r>
    </w:p>
    <w:p>
      <w:pPr>
        <w:spacing w:line="360" w:lineRule="auto"/>
        <w:jc w:val="right"/>
        <w:rPr>
          <w:rFonts w:hint="eastAsia" w:ascii="宋体" w:hAnsi="宋体" w:cs="宋体"/>
          <w:bCs/>
          <w:sz w:val="24"/>
          <w:highlight w:val="none"/>
        </w:rPr>
      </w:pPr>
      <w:r>
        <w:rPr>
          <w:rFonts w:hint="eastAsia" w:ascii="宋体" w:hAnsi="宋体" w:cs="宋体"/>
          <w:color w:val="000000"/>
          <w:sz w:val="24"/>
          <w:highlight w:val="none"/>
        </w:rPr>
        <w:t>备案编号:</w:t>
      </w:r>
      <w:r>
        <w:rPr>
          <w:rFonts w:hint="eastAsia" w:ascii="宋体" w:hAnsi="宋体" w:cs="宋体"/>
          <w:bCs/>
          <w:sz w:val="24"/>
          <w:highlight w:val="none"/>
        </w:rPr>
        <w:t>〖</w:t>
      </w:r>
      <w:r>
        <w:rPr>
          <w:rFonts w:hint="eastAsia" w:ascii="宋体" w:hAnsi="Wingdings" w:cs="宋体"/>
          <w:color w:val="000000"/>
          <w:kern w:val="0"/>
        </w:rPr>
        <w:t>Z7002221000091</w:t>
      </w:r>
      <w:r>
        <w:rPr>
          <w:rFonts w:hint="eastAsia" w:ascii="宋体" w:hAnsi="宋体" w:cs="宋体"/>
          <w:bCs/>
          <w:sz w:val="24"/>
          <w:highlight w:val="none"/>
        </w:rPr>
        <w:t>〗</w:t>
      </w:r>
    </w:p>
    <w:p>
      <w:pPr>
        <w:spacing w:line="360" w:lineRule="auto"/>
        <w:jc w:val="center"/>
        <w:rPr>
          <w:rFonts w:hint="eastAsia" w:ascii="宋体" w:hAnsi="宋体" w:cs="宋体"/>
          <w:bCs/>
          <w:sz w:val="24"/>
          <w:highlight w:val="none"/>
        </w:rPr>
      </w:pPr>
    </w:p>
    <w:p>
      <w:pPr>
        <w:numPr>
          <w:ilvl w:val="0"/>
          <w:numId w:val="9"/>
        </w:numPr>
        <w:spacing w:line="360" w:lineRule="auto"/>
        <w:ind w:firstLine="482" w:firstLineChars="200"/>
        <w:jc w:val="left"/>
        <w:outlineLvl w:val="1"/>
        <w:rPr>
          <w:rFonts w:ascii="宋体" w:hAnsi="宋体" w:cs="宋体"/>
          <w:b/>
          <w:sz w:val="24"/>
          <w:highlight w:val="none"/>
        </w:rPr>
      </w:pPr>
      <w:r>
        <w:rPr>
          <w:rFonts w:hint="eastAsia" w:ascii="宋体" w:hAnsi="宋体" w:cs="宋体"/>
          <w:b/>
          <w:sz w:val="24"/>
          <w:highlight w:val="none"/>
        </w:rPr>
        <w:t>重要须知</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10"/>
        </w:numPr>
        <w:spacing w:line="360" w:lineRule="auto"/>
        <w:ind w:firstLine="482" w:firstLineChars="200"/>
        <w:jc w:val="left"/>
        <w:outlineLvl w:val="2"/>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w:t>
      </w:r>
      <w:r>
        <w:rPr>
          <w:rFonts w:hint="eastAsia" w:ascii="宋体" w:hAnsi="宋体" w:cs="宋体"/>
          <w:bCs/>
          <w:sz w:val="24"/>
          <w:highlight w:val="none"/>
          <w:lang w:eastAsia="zh-CN"/>
        </w:rPr>
        <w:t>理财计划</w:t>
      </w:r>
      <w:r>
        <w:rPr>
          <w:rFonts w:hint="eastAsia" w:ascii="宋体" w:hAnsi="宋体" w:cs="宋体"/>
          <w:bCs/>
          <w:sz w:val="24"/>
          <w:highlight w:val="none"/>
        </w:rPr>
        <w:t>风险揭示书》《投资者权益须知》《理财计划投资协议书》</w:t>
      </w:r>
      <w:r>
        <w:rPr>
          <w:rFonts w:hint="eastAsia" w:ascii="宋体" w:hAnsi="宋体" w:cs="宋体"/>
          <w:bCs/>
          <w:sz w:val="24"/>
          <w:highlight w:val="none"/>
          <w:lang w:eastAsia="zh-CN"/>
        </w:rPr>
        <w:t>《理财计划销售协议书》</w:t>
      </w:r>
      <w:r>
        <w:rPr>
          <w:rFonts w:hint="eastAsia" w:ascii="宋体" w:hAnsi="宋体" w:cs="宋体"/>
          <w:bCs/>
          <w:sz w:val="24"/>
          <w:highlight w:val="none"/>
        </w:rPr>
        <w:t>，将共同构成投资者与管理人之间的理财计划交易合同。</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在本理财计划存续期内，如因监管政策或法律法规发生变化，在不损害投资者利益的前提下，管理人有权单方对本理财计划说明书条款进行修订。</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numPr>
          <w:ilvl w:val="0"/>
          <w:numId w:val="0"/>
        </w:numPr>
        <w:spacing w:line="360" w:lineRule="auto"/>
        <w:jc w:val="left"/>
        <w:rPr>
          <w:rFonts w:hint="eastAsia" w:ascii="宋体" w:hAnsi="宋体" w:cs="宋体"/>
          <w:bCs/>
          <w:sz w:val="24"/>
          <w:highlight w:val="none"/>
        </w:rPr>
      </w:pPr>
    </w:p>
    <w:p>
      <w:pPr>
        <w:numPr>
          <w:ilvl w:val="0"/>
          <w:numId w:val="11"/>
        </w:numPr>
        <w:spacing w:line="360" w:lineRule="auto"/>
        <w:ind w:firstLine="482" w:firstLineChars="200"/>
        <w:jc w:val="left"/>
        <w:outlineLvl w:val="1"/>
        <w:rPr>
          <w:rFonts w:ascii="宋体" w:hAnsi="宋体" w:cs="宋体"/>
          <w:b/>
          <w:sz w:val="24"/>
          <w:highlight w:val="none"/>
        </w:rPr>
      </w:pPr>
      <w:r>
        <w:rPr>
          <w:rFonts w:hint="eastAsia" w:ascii="宋体" w:hAnsi="宋体" w:cs="宋体"/>
          <w:b/>
          <w:sz w:val="24"/>
          <w:highlight w:val="none"/>
        </w:rPr>
        <w:t>释义</w:t>
      </w:r>
    </w:p>
    <w:p>
      <w:pPr>
        <w:pStyle w:val="16"/>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16"/>
        <w:numPr>
          <w:ilvl w:val="0"/>
          <w:numId w:val="12"/>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16"/>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auto"/>
          <w:kern w:val="2"/>
          <w:highlight w:val="none"/>
          <w:lang w:eastAsia="zh-CN"/>
        </w:rPr>
        <w:t>杭银理财有限责任公司简称杭银理财，官网网站为</w:t>
      </w:r>
      <w:r>
        <w:rPr>
          <w:rFonts w:hint="eastAsia" w:ascii="宋体" w:hAnsi="宋体" w:cs="宋体"/>
          <w:bCs/>
          <w:color w:val="auto"/>
          <w:kern w:val="2"/>
          <w:highlight w:val="none"/>
          <w:u w:val="none"/>
          <w:lang w:val="en-US" w:eastAsia="zh-CN"/>
        </w:rPr>
        <w:t>https://</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w:t>
      </w:r>
      <w:r>
        <w:rPr>
          <w:rFonts w:hint="eastAsia" w:ascii="宋体" w:hAnsi="宋体" w:cs="宋体"/>
          <w:bCs/>
          <w:color w:val="auto"/>
          <w:kern w:val="2"/>
          <w:highlight w:val="none"/>
          <w:u w:val="none"/>
          <w:lang w:val="en-US" w:eastAsia="zh-CN"/>
        </w:rPr>
        <w:t>wealth</w:t>
      </w:r>
      <w:r>
        <w:rPr>
          <w:rFonts w:hint="eastAsia" w:ascii="宋体" w:hAnsi="宋体" w:cs="宋体"/>
          <w:bCs/>
          <w:color w:val="auto"/>
          <w:kern w:val="2"/>
          <w:highlight w:val="none"/>
          <w:u w:val="none"/>
        </w:rPr>
        <w:t>.com.cn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u w:val="none"/>
        </w:rPr>
        <w:t>。</w:t>
      </w:r>
    </w:p>
    <w:p>
      <w:pPr>
        <w:pStyle w:val="16"/>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销售机构：</w:t>
      </w:r>
      <w:r>
        <w:rPr>
          <w:rFonts w:hint="eastAsia" w:ascii="宋体" w:hAnsi="宋体" w:cs="宋体"/>
          <w:bCs/>
          <w:color w:val="auto"/>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rPr>
        <w:t>，客服热线为95398。</w:t>
      </w:r>
    </w:p>
    <w:p>
      <w:pPr>
        <w:pStyle w:val="16"/>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sz w:val="24"/>
          <w:szCs w:val="24"/>
          <w:highlight w:val="none"/>
        </w:rPr>
        <w:t>〖</w:t>
      </w:r>
      <w:r>
        <w:rPr>
          <w:rFonts w:hint="eastAsia" w:ascii="宋体" w:hAnsi="宋体" w:cs="宋体"/>
          <w:bCs/>
          <w:color w:val="auto"/>
          <w:kern w:val="2"/>
          <w:highlight w:val="none"/>
        </w:rPr>
        <w:t>杭州银行股份有限公司</w:t>
      </w:r>
      <w:r>
        <w:rPr>
          <w:rFonts w:hint="eastAsia" w:ascii="宋体" w:hAnsi="宋体" w:cs="宋体"/>
          <w:sz w:val="24"/>
          <w:szCs w:val="24"/>
          <w:highlight w:val="none"/>
        </w:rPr>
        <w:t>〗</w:t>
      </w:r>
      <w:r>
        <w:rPr>
          <w:rFonts w:hint="eastAsia" w:ascii="宋体" w:hAnsi="宋体" w:cs="宋体"/>
          <w:bCs/>
          <w:color w:val="auto"/>
          <w:kern w:val="2"/>
          <w:highlight w:val="none"/>
        </w:rPr>
        <w:t>。</w:t>
      </w:r>
    </w:p>
    <w:p>
      <w:pPr>
        <w:pStyle w:val="16"/>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16"/>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16"/>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指对管理人（包括本理财计划管理人、所投资的的信托计划/资管计划的管理人/受托人、相关投资顾问等）实施监督管理的机构，包括但不限于中国人民银行、</w:t>
      </w:r>
      <w:r>
        <w:rPr>
          <w:rFonts w:hint="eastAsia" w:ascii="宋体" w:hAnsi="宋体" w:cs="宋体"/>
          <w:bCs/>
          <w:sz w:val="24"/>
          <w:highlight w:val="none"/>
          <w:lang w:eastAsia="zh-CN"/>
        </w:rPr>
        <w:t>国家金融监督管理总局</w:t>
      </w:r>
      <w:r>
        <w:rPr>
          <w:rFonts w:hint="eastAsia" w:ascii="宋体" w:hAnsi="宋体" w:cs="宋体"/>
          <w:bCs/>
          <w:color w:val="auto"/>
          <w:kern w:val="2"/>
          <w:highlight w:val="none"/>
        </w:rPr>
        <w:t>、中国证券监督管理委员会、外汇管理局、银行业理财登记托管中心等。</w:t>
      </w:r>
    </w:p>
    <w:p>
      <w:pPr>
        <w:pStyle w:val="16"/>
        <w:numPr>
          <w:ilvl w:val="0"/>
          <w:numId w:val="12"/>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16"/>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理财计划说明书/产品说明书：</w:t>
      </w:r>
      <w:r>
        <w:rPr>
          <w:rFonts w:hint="eastAsia" w:ascii="宋体" w:hAnsi="宋体" w:cs="宋体"/>
          <w:bCs/>
          <w:color w:val="auto"/>
          <w:kern w:val="2"/>
          <w:highlight w:val="none"/>
        </w:rPr>
        <w:t>指《杭银理财幸福99</w:t>
      </w:r>
      <w:r>
        <w:rPr>
          <w:rFonts w:hint="eastAsia" w:ascii="宋体" w:hAnsi="宋体" w:cs="宋体"/>
          <w:bCs/>
          <w:highlight w:val="none"/>
          <w:lang w:eastAsia="zh-CN"/>
        </w:rPr>
        <w:t>半年添益2004期理财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16"/>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指作为杭银理财幸福99</w:t>
      </w:r>
      <w:r>
        <w:rPr>
          <w:rFonts w:hint="eastAsia" w:ascii="宋体" w:hAnsi="宋体" w:cs="宋体"/>
          <w:bCs/>
          <w:highlight w:val="none"/>
          <w:lang w:eastAsia="zh-CN"/>
        </w:rPr>
        <w:t>半年添益2004期理财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16"/>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指作为杭银理财幸福99</w:t>
      </w:r>
      <w:r>
        <w:rPr>
          <w:rFonts w:hint="eastAsia" w:ascii="宋体" w:hAnsi="宋体" w:cs="宋体"/>
          <w:bCs/>
          <w:highlight w:val="none"/>
          <w:lang w:eastAsia="zh-CN"/>
        </w:rPr>
        <w:t>半年添益2004期理财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16"/>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理财计划投资协议书：</w:t>
      </w:r>
      <w:r>
        <w:rPr>
          <w:rFonts w:hint="eastAsia" w:ascii="宋体" w:hAnsi="宋体" w:cs="宋体"/>
          <w:bCs/>
          <w:color w:val="auto"/>
          <w:kern w:val="2"/>
          <w:highlight w:val="none"/>
        </w:rPr>
        <w:t>指作为杭银理财幸福99</w:t>
      </w:r>
      <w:r>
        <w:rPr>
          <w:rFonts w:hint="eastAsia" w:ascii="宋体" w:hAnsi="宋体" w:cs="宋体"/>
          <w:bCs/>
          <w:highlight w:val="none"/>
          <w:lang w:eastAsia="zh-CN"/>
        </w:rPr>
        <w:t>半年添益2004期理财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16"/>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理财计划销售协议书：</w:t>
      </w:r>
      <w:r>
        <w:rPr>
          <w:rFonts w:hint="eastAsia" w:ascii="宋体" w:hAnsi="宋体" w:cs="宋体"/>
          <w:bCs/>
          <w:color w:val="auto"/>
          <w:kern w:val="2"/>
          <w:highlight w:val="none"/>
          <w:lang w:eastAsia="zh-CN"/>
        </w:rPr>
        <w:t>指作为杭银理财幸福</w:t>
      </w:r>
      <w:r>
        <w:rPr>
          <w:rFonts w:hint="eastAsia" w:ascii="宋体" w:hAnsi="宋体" w:cs="宋体"/>
          <w:bCs/>
          <w:color w:val="auto"/>
          <w:kern w:val="2"/>
          <w:highlight w:val="none"/>
          <w:lang w:val="en-US" w:eastAsia="zh-CN"/>
        </w:rPr>
        <w:t>99</w:t>
      </w:r>
      <w:r>
        <w:rPr>
          <w:rFonts w:hint="eastAsia" w:ascii="宋体" w:hAnsi="宋体" w:cs="宋体"/>
          <w:bCs/>
          <w:highlight w:val="none"/>
          <w:lang w:eastAsia="zh-CN"/>
        </w:rPr>
        <w:t>半年添益2004期理财</w:t>
      </w:r>
      <w:r>
        <w:rPr>
          <w:rFonts w:hint="eastAsia" w:ascii="宋体" w:hAnsi="宋体" w:cs="宋体"/>
          <w:bCs/>
          <w:color w:val="auto"/>
          <w:kern w:val="2"/>
          <w:highlight w:val="none"/>
          <w:lang w:val="en-US" w:eastAsia="zh-CN"/>
        </w:rPr>
        <w:t>合同不可分割组成部分的理财计划销售协议书，以及对该文件的有效修改与补充。</w:t>
      </w:r>
    </w:p>
    <w:p>
      <w:pPr>
        <w:pStyle w:val="16"/>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理财计划合同/销售文件：</w:t>
      </w:r>
      <w:r>
        <w:rPr>
          <w:rFonts w:hint="eastAsia" w:ascii="宋体" w:hAnsi="宋体" w:cs="宋体"/>
          <w:bCs/>
          <w:color w:val="auto"/>
          <w:kern w:val="2"/>
          <w:highlight w:val="none"/>
        </w:rPr>
        <w:t>指《理财计划</w:t>
      </w:r>
      <w:r>
        <w:rPr>
          <w:rFonts w:hint="eastAsia" w:ascii="宋体" w:hAnsi="宋体" w:cs="宋体"/>
          <w:bCs/>
          <w:color w:val="auto"/>
          <w:kern w:val="2"/>
          <w:highlight w:val="none"/>
          <w:lang w:eastAsia="zh-CN"/>
        </w:rPr>
        <w:t>风险揭示书</w:t>
      </w:r>
      <w:r>
        <w:rPr>
          <w:rFonts w:hint="eastAsia" w:ascii="宋体" w:hAnsi="宋体" w:cs="宋体"/>
          <w:bCs/>
          <w:color w:val="auto"/>
          <w:kern w:val="2"/>
          <w:highlight w:val="none"/>
        </w:rPr>
        <w:t>》《</w:t>
      </w:r>
      <w:r>
        <w:rPr>
          <w:rFonts w:hint="eastAsia" w:ascii="宋体" w:hAnsi="宋体" w:cs="宋体"/>
          <w:bCs/>
          <w:color w:val="auto"/>
          <w:kern w:val="2"/>
          <w:highlight w:val="none"/>
          <w:lang w:eastAsia="zh-CN"/>
        </w:rPr>
        <w:t>理财计划产品说明书</w:t>
      </w:r>
      <w:r>
        <w:rPr>
          <w:rFonts w:hint="eastAsia" w:ascii="宋体" w:hAnsi="宋体" w:cs="宋体"/>
          <w:bCs/>
          <w:color w:val="auto"/>
          <w:kern w:val="2"/>
          <w:highlight w:val="none"/>
        </w:rPr>
        <w:t>》《投资者权益须知》《理财计划投资协议书》</w:t>
      </w:r>
      <w:r>
        <w:rPr>
          <w:rFonts w:hint="eastAsia" w:ascii="宋体" w:hAnsi="宋体" w:cs="宋体"/>
          <w:bCs/>
          <w:color w:val="auto"/>
          <w:kern w:val="2"/>
          <w:highlight w:val="none"/>
          <w:lang w:eastAsia="zh-CN"/>
        </w:rPr>
        <w:t>《理财计划销售协议书》五</w:t>
      </w:r>
      <w:r>
        <w:rPr>
          <w:rFonts w:hint="eastAsia" w:ascii="宋体" w:hAnsi="宋体" w:cs="宋体"/>
          <w:bCs/>
          <w:color w:val="auto"/>
          <w:kern w:val="2"/>
          <w:highlight w:val="none"/>
        </w:rPr>
        <w:t>个部分。</w:t>
      </w:r>
    </w:p>
    <w:p>
      <w:pPr>
        <w:pStyle w:val="16"/>
        <w:numPr>
          <w:ilvl w:val="0"/>
          <w:numId w:val="12"/>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16"/>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指杭银理财幸福99</w:t>
      </w:r>
      <w:r>
        <w:rPr>
          <w:rFonts w:hint="eastAsia" w:ascii="宋体" w:hAnsi="宋体" w:cs="宋体"/>
          <w:bCs/>
          <w:highlight w:val="none"/>
          <w:lang w:eastAsia="zh-CN"/>
        </w:rPr>
        <w:t>半年添益2004期理财</w:t>
      </w:r>
      <w:r>
        <w:rPr>
          <w:rFonts w:hint="eastAsia" w:ascii="宋体" w:hAnsi="宋体" w:cs="宋体"/>
          <w:bCs/>
          <w:highlight w:val="none"/>
        </w:rPr>
        <w:t>。</w:t>
      </w:r>
    </w:p>
    <w:p>
      <w:pPr>
        <w:pStyle w:val="16"/>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16"/>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16"/>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16"/>
        <w:numPr>
          <w:ilvl w:val="0"/>
          <w:numId w:val="15"/>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16"/>
        <w:numPr>
          <w:ilvl w:val="0"/>
          <w:numId w:val="15"/>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指上海证券交易所、深圳证券交易所的正常交易日。</w:t>
      </w:r>
    </w:p>
    <w:p>
      <w:pPr>
        <w:pStyle w:val="16"/>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16"/>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16"/>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w:t>
      </w:r>
      <w:r>
        <w:rPr>
          <w:rFonts w:hint="eastAsia" w:ascii="宋体" w:hAnsi="宋体" w:cs="宋体"/>
          <w:bCs/>
          <w:color w:val="auto"/>
          <w:kern w:val="2"/>
          <w:highlight w:val="none"/>
          <w:lang w:eastAsia="zh-CN"/>
        </w:rPr>
        <w:t>计划</w:t>
      </w:r>
      <w:r>
        <w:rPr>
          <w:rFonts w:hint="eastAsia" w:ascii="宋体" w:hAnsi="宋体" w:cs="宋体"/>
          <w:bCs/>
          <w:color w:val="auto"/>
          <w:kern w:val="2"/>
          <w:highlight w:val="none"/>
        </w:rPr>
        <w:t>成立后，理财计划不接受投资者申购赎回的时间。</w:t>
      </w:r>
    </w:p>
    <w:p>
      <w:pPr>
        <w:pStyle w:val="16"/>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16"/>
        <w:numPr>
          <w:ilvl w:val="0"/>
          <w:numId w:val="15"/>
        </w:numPr>
        <w:adjustRightInd/>
        <w:spacing w:line="360" w:lineRule="auto"/>
        <w:ind w:left="0"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投资周期</w:t>
      </w:r>
      <w:r>
        <w:rPr>
          <w:rFonts w:hint="eastAsia" w:ascii="宋体" w:hAnsi="宋体" w:cs="宋体"/>
          <w:b/>
          <w:color w:val="auto"/>
          <w:kern w:val="2"/>
          <w:highlight w:val="none"/>
          <w:lang w:eastAsia="zh-CN"/>
        </w:rPr>
        <w:t>：</w:t>
      </w:r>
      <w:r>
        <w:rPr>
          <w:rFonts w:hint="eastAsia" w:ascii="宋体" w:hAnsi="宋体" w:cs="宋体"/>
          <w:b w:val="0"/>
          <w:bCs/>
          <w:color w:val="auto"/>
          <w:kern w:val="2"/>
          <w:highlight w:val="none"/>
          <w:lang w:eastAsia="zh-CN"/>
        </w:rPr>
        <w:t>指理财计划成立或申购</w:t>
      </w:r>
      <w:r>
        <w:rPr>
          <w:rFonts w:hint="eastAsia" w:ascii="宋体" w:hAnsi="宋体" w:cs="宋体"/>
          <w:b w:val="0"/>
          <w:bCs/>
          <w:color w:val="auto"/>
          <w:kern w:val="2"/>
          <w:highlight w:val="none"/>
          <w:lang w:val="en-US" w:eastAsia="zh-CN"/>
        </w:rPr>
        <w:t>/赎回</w:t>
      </w:r>
      <w:r>
        <w:rPr>
          <w:rFonts w:hint="eastAsia" w:ascii="宋体" w:hAnsi="宋体" w:cs="宋体"/>
          <w:b w:val="0"/>
          <w:bCs/>
          <w:color w:val="auto"/>
          <w:kern w:val="2"/>
          <w:highlight w:val="none"/>
          <w:lang w:eastAsia="zh-CN"/>
        </w:rPr>
        <w:t>开放期确认后，至下一个申购</w:t>
      </w:r>
      <w:r>
        <w:rPr>
          <w:rFonts w:hint="eastAsia" w:ascii="宋体" w:hAnsi="宋体" w:cs="宋体"/>
          <w:b w:val="0"/>
          <w:bCs/>
          <w:color w:val="auto"/>
          <w:kern w:val="2"/>
          <w:highlight w:val="none"/>
          <w:lang w:val="en-US" w:eastAsia="zh-CN"/>
        </w:rPr>
        <w:t>/赎回开放期确认前的时间。如申购和赎回开放期确认时间不一致，应明确以申购投资周期或赎回投资周期作为理财计划的投资周期。</w:t>
      </w:r>
    </w:p>
    <w:p>
      <w:pPr>
        <w:pStyle w:val="16"/>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16"/>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16"/>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申购和赎回开放期等日期安排发生变化的，原则上采用顺延方式对原定日期进行调整，如有特殊安排，以管理人对外披露的公告为准。</w:t>
      </w:r>
    </w:p>
    <w:p>
      <w:pPr>
        <w:pStyle w:val="16"/>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16"/>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16"/>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16"/>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开放日：</w:t>
      </w:r>
      <w:r>
        <w:rPr>
          <w:rFonts w:hint="eastAsia" w:ascii="宋体" w:hAnsi="宋体" w:cs="宋体"/>
          <w:bCs/>
          <w:color w:val="auto"/>
          <w:kern w:val="2"/>
          <w:highlight w:val="none"/>
        </w:rPr>
        <w:t>指为投资者办理申购、赎回交易的日期。</w:t>
      </w:r>
    </w:p>
    <w:p>
      <w:pPr>
        <w:pStyle w:val="16"/>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开放期：</w:t>
      </w:r>
      <w:r>
        <w:rPr>
          <w:rFonts w:hint="eastAsia" w:ascii="宋体" w:hAnsi="宋体" w:cs="宋体"/>
          <w:bCs/>
          <w:highlight w:val="none"/>
        </w:rPr>
        <w:t>指管理人向投资者提供申购</w:t>
      </w:r>
      <w:r>
        <w:rPr>
          <w:rFonts w:hint="eastAsia" w:ascii="宋体" w:hAnsi="宋体" w:cs="宋体"/>
          <w:bCs/>
          <w:highlight w:val="none"/>
          <w:lang w:eastAsia="zh-CN"/>
        </w:rPr>
        <w:t>、</w:t>
      </w:r>
      <w:r>
        <w:rPr>
          <w:rFonts w:hint="eastAsia" w:ascii="宋体" w:hAnsi="宋体" w:cs="宋体"/>
          <w:bCs/>
          <w:highlight w:val="none"/>
          <w:lang w:val="en-US" w:eastAsia="zh-CN"/>
        </w:rPr>
        <w:t>赎回</w:t>
      </w:r>
      <w:r>
        <w:rPr>
          <w:rFonts w:hint="eastAsia" w:ascii="宋体" w:hAnsi="宋体" w:cs="宋体"/>
          <w:bCs/>
          <w:highlight w:val="none"/>
        </w:rPr>
        <w:t>交易的时间。</w:t>
      </w:r>
    </w:p>
    <w:p>
      <w:pPr>
        <w:pStyle w:val="16"/>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确认日：</w:t>
      </w:r>
      <w:r>
        <w:rPr>
          <w:rFonts w:hint="eastAsia" w:ascii="宋体" w:hAnsi="宋体" w:cs="宋体"/>
          <w:bCs/>
          <w:color w:val="auto"/>
          <w:kern w:val="2"/>
          <w:highlight w:val="none"/>
        </w:rPr>
        <w:t>指管理人确认投资者申购</w:t>
      </w:r>
      <w:r>
        <w:rPr>
          <w:rFonts w:hint="eastAsia" w:ascii="宋体" w:hAnsi="宋体" w:cs="宋体"/>
          <w:bCs/>
          <w:color w:val="auto"/>
          <w:kern w:val="2"/>
          <w:highlight w:val="none"/>
          <w:lang w:eastAsia="zh-CN"/>
        </w:rPr>
        <w:t>、</w:t>
      </w:r>
      <w:r>
        <w:rPr>
          <w:rFonts w:hint="eastAsia" w:ascii="宋体" w:hAnsi="宋体" w:cs="宋体"/>
          <w:bCs/>
          <w:color w:val="auto"/>
          <w:kern w:val="2"/>
          <w:highlight w:val="none"/>
          <w:lang w:val="en-US" w:eastAsia="zh-CN"/>
        </w:rPr>
        <w:t>赎回</w:t>
      </w:r>
      <w:r>
        <w:rPr>
          <w:rFonts w:hint="eastAsia" w:ascii="宋体" w:hAnsi="宋体" w:cs="宋体"/>
          <w:bCs/>
          <w:color w:val="auto"/>
          <w:kern w:val="2"/>
          <w:highlight w:val="none"/>
        </w:rPr>
        <w:t>交易是否有效的日期。</w:t>
      </w:r>
    </w:p>
    <w:p>
      <w:pPr>
        <w:pStyle w:val="16"/>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16"/>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申购：</w:t>
      </w:r>
      <w:r>
        <w:rPr>
          <w:rFonts w:hint="eastAsia" w:ascii="宋体" w:hAnsi="宋体" w:cs="宋体"/>
          <w:bCs/>
          <w:color w:val="auto"/>
          <w:kern w:val="2"/>
          <w:highlight w:val="none"/>
        </w:rPr>
        <w:t>指理财计划申购开放期内，投资者向管理人进行理财计划份额购买的行为。</w:t>
      </w:r>
    </w:p>
    <w:p>
      <w:pPr>
        <w:pStyle w:val="16"/>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赎回：</w:t>
      </w:r>
      <w:r>
        <w:rPr>
          <w:rFonts w:hint="eastAsia" w:ascii="宋体" w:hAnsi="宋体" w:cs="宋体"/>
          <w:bCs/>
          <w:color w:val="auto"/>
          <w:kern w:val="2"/>
          <w:highlight w:val="none"/>
        </w:rPr>
        <w:t>指理财计划</w:t>
      </w:r>
      <w:r>
        <w:rPr>
          <w:rFonts w:hint="eastAsia" w:ascii="宋体" w:hAnsi="宋体" w:cs="宋体"/>
          <w:bCs/>
          <w:color w:val="auto"/>
          <w:kern w:val="2"/>
          <w:highlight w:val="none"/>
          <w:lang w:eastAsia="zh-CN"/>
        </w:rPr>
        <w:t>赎回</w:t>
      </w:r>
      <w:r>
        <w:rPr>
          <w:rFonts w:hint="eastAsia" w:ascii="宋体" w:hAnsi="宋体" w:cs="宋体"/>
          <w:bCs/>
          <w:color w:val="auto"/>
          <w:kern w:val="2"/>
          <w:highlight w:val="none"/>
        </w:rPr>
        <w:t>开放期内，投资者向管理人进行理财计划份额卖出的行为。</w:t>
      </w:r>
    </w:p>
    <w:p>
      <w:pPr>
        <w:pStyle w:val="16"/>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16"/>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w:t>
      </w:r>
      <w:r>
        <w:rPr>
          <w:rFonts w:hint="eastAsia" w:ascii="宋体" w:hAnsi="宋体" w:cs="宋体"/>
          <w:bCs/>
          <w:highlight w:val="none"/>
          <w:lang w:eastAsia="zh-CN"/>
        </w:rPr>
        <w:t>销售服务费</w:t>
      </w:r>
      <w:r>
        <w:rPr>
          <w:rFonts w:hint="eastAsia" w:ascii="宋体" w:hAnsi="宋体" w:cs="宋体"/>
          <w:bCs/>
          <w:highlight w:val="none"/>
        </w:rPr>
        <w:t>、托管人收取的托管费、交易费用、执行费用等相关费用，具体以</w:t>
      </w:r>
      <w:r>
        <w:rPr>
          <w:rFonts w:hint="eastAsia" w:ascii="宋体" w:hAnsi="宋体" w:cs="宋体"/>
          <w:bCs/>
          <w:highlight w:val="none"/>
          <w:lang w:eastAsia="zh-CN"/>
        </w:rPr>
        <w:t>实际发生</w:t>
      </w:r>
      <w:r>
        <w:rPr>
          <w:rFonts w:hint="eastAsia" w:ascii="宋体" w:hAnsi="宋体" w:cs="宋体"/>
          <w:bCs/>
          <w:highlight w:val="none"/>
        </w:rPr>
        <w:t>为准。</w:t>
      </w:r>
    </w:p>
    <w:p>
      <w:pPr>
        <w:pStyle w:val="16"/>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highlight w:val="none"/>
          <w:lang w:eastAsia="zh-CN"/>
        </w:rPr>
        <w:t>其他费用：</w:t>
      </w:r>
      <w:r>
        <w:rPr>
          <w:rFonts w:hint="eastAsia" w:ascii="宋体" w:hAnsi="宋体" w:cs="宋体"/>
          <w:b w:val="0"/>
          <w:bCs/>
          <w:highlight w:val="none"/>
          <w:lang w:eastAsia="zh-CN"/>
        </w:rPr>
        <w:t>指除理财计划费用以外，理财计划涉及的其他相关费用，包括但不限于认购费、申购费、赎回费、投顾费等，具体以</w:t>
      </w:r>
      <w:r>
        <w:rPr>
          <w:rFonts w:hint="eastAsia" w:ascii="宋体" w:hAnsi="宋体" w:cs="宋体"/>
          <w:bCs/>
          <w:highlight w:val="none"/>
        </w:rPr>
        <w:t>本说明书第八条约定</w:t>
      </w:r>
      <w:r>
        <w:rPr>
          <w:rFonts w:hint="eastAsia" w:ascii="宋体" w:hAnsi="宋体" w:cs="宋体"/>
          <w:b w:val="0"/>
          <w:bCs/>
          <w:highlight w:val="none"/>
          <w:lang w:eastAsia="zh-CN"/>
        </w:rPr>
        <w:t>为准。</w:t>
      </w:r>
    </w:p>
    <w:p>
      <w:pPr>
        <w:pStyle w:val="16"/>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16"/>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16"/>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16"/>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流</w:t>
      </w:r>
      <w:r>
        <w:rPr>
          <w:rFonts w:hint="eastAsia"/>
          <w:b/>
          <w:bCs w:val="0"/>
          <w:highlight w:val="none"/>
          <w:lang w:val="en-US" w:eastAsia="zh-CN"/>
        </w:rPr>
        <w:t>动性受限资产：</w:t>
      </w:r>
      <w:r>
        <w:rPr>
          <w:rFonts w:hint="eastAsia"/>
          <w:highlight w:val="none"/>
          <w:lang w:val="en-US" w:eastAsia="zh-CN"/>
        </w:rPr>
        <w:t>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pStyle w:val="16"/>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b/>
          <w:bCs/>
          <w:highlight w:val="none"/>
          <w:lang w:val="en-US" w:eastAsia="zh-CN"/>
        </w:rPr>
        <w:t>7个工作日可变现资产：</w:t>
      </w:r>
      <w:r>
        <w:rPr>
          <w:rFonts w:hint="eastAsia"/>
          <w:highlight w:val="none"/>
          <w:lang w:val="en-US" w:eastAsia="zh-CN"/>
        </w:rPr>
        <w:t>包括但不限于可在交易所、银行间市场正常交易的股票、债券、非金融企业债务融资工具、期货及期权合约以及同业存单，7个工作日内到期或可支取的买入返售、银行存款，7个工作日内能够确认收到的各类应收款项等。</w:t>
      </w:r>
    </w:p>
    <w:p>
      <w:pPr>
        <w:pStyle w:val="16"/>
        <w:numPr>
          <w:ilvl w:val="0"/>
          <w:numId w:val="12"/>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16"/>
        <w:numPr>
          <w:ilvl w:val="0"/>
          <w:numId w:val="16"/>
        </w:numPr>
        <w:adjustRightInd/>
        <w:spacing w:line="360" w:lineRule="auto"/>
        <w:ind w:firstLine="482" w:firstLineChars="200"/>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16"/>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16"/>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16"/>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16"/>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16"/>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16"/>
        <w:numPr>
          <w:ilvl w:val="0"/>
          <w:numId w:val="1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16"/>
        <w:numPr>
          <w:ilvl w:val="0"/>
          <w:numId w:val="0"/>
        </w:numPr>
        <w:adjustRightInd/>
        <w:spacing w:line="360" w:lineRule="auto"/>
        <w:rPr>
          <w:rFonts w:hint="eastAsia" w:ascii="宋体" w:hAnsi="宋体" w:cs="宋体"/>
          <w:b/>
          <w:color w:val="auto"/>
          <w:kern w:val="2"/>
          <w:highlight w:val="none"/>
        </w:rPr>
      </w:pPr>
    </w:p>
    <w:p>
      <w:pPr>
        <w:pStyle w:val="16"/>
        <w:numPr>
          <w:ilvl w:val="0"/>
          <w:numId w:val="18"/>
        </w:numPr>
        <w:adjustRightInd/>
        <w:spacing w:line="360" w:lineRule="auto"/>
        <w:ind w:firstLine="482" w:firstLineChars="200"/>
        <w:outlineLvl w:val="1"/>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16"/>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本理财计划的风险等级为〖R</w:t>
      </w:r>
      <w:r>
        <w:rPr>
          <w:rFonts w:hint="eastAsia" w:ascii="宋体" w:hAnsi="宋体" w:cs="宋体"/>
          <w:b/>
          <w:color w:val="auto"/>
          <w:kern w:val="2"/>
          <w:highlight w:val="none"/>
          <w:lang w:val="en-US" w:eastAsia="zh-CN"/>
        </w:rPr>
        <w:t>2</w:t>
      </w:r>
      <w:r>
        <w:rPr>
          <w:rFonts w:hint="eastAsia" w:ascii="宋体" w:hAnsi="宋体" w:cs="宋体"/>
          <w:b/>
          <w:color w:val="auto"/>
          <w:kern w:val="2"/>
          <w:highlight w:val="none"/>
        </w:rPr>
        <w:t>〗，〖</w:t>
      </w:r>
      <w:r>
        <w:rPr>
          <w:rFonts w:hint="eastAsia" w:ascii="宋体" w:hAnsi="宋体" w:cs="宋体"/>
          <w:b/>
          <w:color w:val="auto"/>
          <w:kern w:val="2"/>
          <w:highlight w:val="none"/>
          <w:lang w:val="en-US" w:eastAsia="zh-CN"/>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11"/>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6"/>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16"/>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16"/>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6"/>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R1</w:t>
            </w:r>
          </w:p>
        </w:tc>
        <w:tc>
          <w:tcPr>
            <w:tcW w:w="1382" w:type="dxa"/>
            <w:noWrap w:val="0"/>
            <w:vAlign w:val="top"/>
          </w:tcPr>
          <w:p>
            <w:pPr>
              <w:pStyle w:val="16"/>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低</w:t>
            </w:r>
          </w:p>
        </w:tc>
        <w:tc>
          <w:tcPr>
            <w:tcW w:w="4755" w:type="dxa"/>
            <w:noWrap w:val="0"/>
            <w:vAlign w:val="top"/>
          </w:tcPr>
          <w:p>
            <w:pPr>
              <w:pStyle w:val="16"/>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lang w:eastAsia="zh-CN"/>
              </w:rPr>
              <w:t>保守型、</w:t>
            </w: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w:t>
            </w:r>
            <w:r>
              <w:rPr>
                <w:rFonts w:hint="eastAsia" w:ascii="宋体" w:hAnsi="宋体" w:cs="宋体"/>
                <w:bCs/>
                <w:color w:val="auto"/>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6"/>
              <w:adjustRightInd/>
              <w:spacing w:line="360" w:lineRule="auto"/>
              <w:jc w:val="center"/>
              <w:rPr>
                <w:rFonts w:ascii="宋体" w:hAnsi="宋体" w:cs="宋体"/>
                <w:b/>
                <w:bCs w:val="0"/>
                <w:color w:val="auto"/>
                <w:kern w:val="2"/>
                <w:highlight w:val="none"/>
              </w:rPr>
            </w:pPr>
            <w:r>
              <w:rPr>
                <w:rFonts w:hint="eastAsia" w:ascii="宋体" w:hAnsi="宋体" w:cs="宋体"/>
                <w:b/>
                <w:bCs w:val="0"/>
                <w:color w:val="auto"/>
                <w:kern w:val="2"/>
                <w:highlight w:val="none"/>
              </w:rPr>
              <w:t>R2</w:t>
            </w:r>
          </w:p>
        </w:tc>
        <w:tc>
          <w:tcPr>
            <w:tcW w:w="1382" w:type="dxa"/>
            <w:noWrap w:val="0"/>
            <w:vAlign w:val="top"/>
          </w:tcPr>
          <w:p>
            <w:pPr>
              <w:pStyle w:val="16"/>
              <w:adjustRightInd/>
              <w:spacing w:line="360" w:lineRule="auto"/>
              <w:jc w:val="center"/>
              <w:rPr>
                <w:rFonts w:ascii="宋体" w:hAnsi="宋体" w:cs="宋体"/>
                <w:b/>
                <w:bCs w:val="0"/>
                <w:color w:val="auto"/>
                <w:kern w:val="2"/>
                <w:highlight w:val="none"/>
              </w:rPr>
            </w:pPr>
            <w:r>
              <w:rPr>
                <w:rFonts w:hint="eastAsia" w:ascii="宋体" w:hAnsi="宋体" w:cs="宋体"/>
                <w:b/>
                <w:bCs w:val="0"/>
                <w:color w:val="auto"/>
                <w:kern w:val="2"/>
                <w:highlight w:val="none"/>
              </w:rPr>
              <w:t>中低</w:t>
            </w:r>
          </w:p>
        </w:tc>
        <w:tc>
          <w:tcPr>
            <w:tcW w:w="4755" w:type="dxa"/>
            <w:noWrap w:val="0"/>
            <w:vAlign w:val="top"/>
          </w:tcPr>
          <w:p>
            <w:pPr>
              <w:pStyle w:val="16"/>
              <w:adjustRightInd/>
              <w:spacing w:line="360" w:lineRule="auto"/>
              <w:jc w:val="center"/>
              <w:rPr>
                <w:rFonts w:ascii="宋体" w:hAnsi="宋体" w:cs="宋体"/>
                <w:b/>
                <w:bCs w:val="0"/>
                <w:color w:val="auto"/>
                <w:kern w:val="2"/>
                <w:highlight w:val="none"/>
              </w:rPr>
            </w:pPr>
            <w:r>
              <w:rPr>
                <w:rFonts w:hint="eastAsia" w:ascii="宋体" w:hAnsi="宋体" w:cs="宋体"/>
                <w:b/>
                <w:bCs w:val="0"/>
                <w:color w:val="auto"/>
                <w:kern w:val="2"/>
                <w:highlight w:val="none"/>
              </w:rPr>
              <w:t>稳健型</w:t>
            </w:r>
            <w:r>
              <w:rPr>
                <w:rFonts w:hint="eastAsia" w:ascii="宋体" w:hAnsi="宋体" w:cs="宋体"/>
                <w:b/>
                <w:bCs w:val="0"/>
                <w:color w:val="auto"/>
                <w:kern w:val="2"/>
                <w:highlight w:val="none"/>
                <w:lang w:eastAsia="zh-CN"/>
              </w:rPr>
              <w:t>、</w:t>
            </w:r>
            <w:r>
              <w:rPr>
                <w:rFonts w:hint="eastAsia" w:ascii="宋体" w:hAnsi="宋体" w:cs="宋体"/>
                <w:b/>
                <w:bCs w:val="0"/>
                <w:color w:val="auto"/>
                <w:kern w:val="2"/>
                <w:highlight w:val="none"/>
              </w:rPr>
              <w:t>平衡型</w:t>
            </w:r>
            <w:r>
              <w:rPr>
                <w:rFonts w:hint="eastAsia" w:ascii="宋体" w:hAnsi="宋体" w:cs="宋体"/>
                <w:b/>
                <w:bCs w:val="0"/>
                <w:color w:val="auto"/>
                <w:kern w:val="2"/>
                <w:highlight w:val="none"/>
                <w:lang w:eastAsia="zh-CN"/>
              </w:rPr>
              <w:t>、成长</w:t>
            </w:r>
            <w:r>
              <w:rPr>
                <w:rFonts w:hint="eastAsia" w:ascii="宋体" w:hAnsi="宋体" w:cs="宋体"/>
                <w:b/>
                <w:bCs w:val="0"/>
                <w:color w:val="auto"/>
                <w:kern w:val="2"/>
                <w:highlight w:val="none"/>
              </w:rPr>
              <w:t>型</w:t>
            </w:r>
            <w:r>
              <w:rPr>
                <w:rFonts w:hint="eastAsia" w:ascii="宋体" w:hAnsi="宋体" w:cs="宋体"/>
                <w:b/>
                <w:bCs w:val="0"/>
                <w:color w:val="auto"/>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6"/>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16"/>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16"/>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6"/>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16"/>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16"/>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6"/>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16"/>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16"/>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lang w:eastAsia="zh-CN"/>
              </w:rPr>
              <w:t>进取型</w:t>
            </w:r>
          </w:p>
        </w:tc>
      </w:tr>
    </w:tbl>
    <w:p>
      <w:pPr>
        <w:pStyle w:val="16"/>
        <w:adjustRightInd/>
        <w:spacing w:line="360" w:lineRule="auto"/>
        <w:ind w:firstLine="480" w:firstLineChars="200"/>
        <w:rPr>
          <w:rFonts w:hint="default" w:ascii="宋体" w:hAnsi="宋体" w:cs="宋体"/>
          <w:bCs/>
          <w:color w:val="auto"/>
          <w:kern w:val="2"/>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pStyle w:val="16"/>
        <w:adjustRightInd/>
        <w:spacing w:line="360" w:lineRule="auto"/>
        <w:rPr>
          <w:rFonts w:hint="eastAsia" w:ascii="宋体" w:hAnsi="宋体" w:cs="宋体"/>
          <w:b/>
          <w:color w:val="auto"/>
          <w:kern w:val="2"/>
          <w:highlight w:val="none"/>
        </w:rPr>
      </w:pPr>
    </w:p>
    <w:p>
      <w:pPr>
        <w:pStyle w:val="16"/>
        <w:numPr>
          <w:ilvl w:val="0"/>
          <w:numId w:val="18"/>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11"/>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产品名称</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sz w:val="21"/>
                <w:szCs w:val="21"/>
                <w:highlight w:val="none"/>
              </w:rPr>
              <w:t>杭银理财幸福99</w:t>
            </w:r>
            <w:r>
              <w:rPr>
                <w:rFonts w:hint="eastAsia" w:ascii="宋体" w:hAnsi="宋体" w:cs="宋体"/>
                <w:bCs/>
                <w:sz w:val="21"/>
                <w:szCs w:val="21"/>
                <w:highlight w:val="none"/>
                <w:lang w:eastAsia="zh-CN"/>
              </w:rPr>
              <w:t>半年添益2004期</w:t>
            </w:r>
            <w:r>
              <w:rPr>
                <w:rFonts w:hint="eastAsia" w:ascii="宋体" w:hAnsi="宋体" w:cs="宋体"/>
                <w:sz w:val="21"/>
                <w:szCs w:val="21"/>
                <w:highlight w:val="none"/>
              </w:rPr>
              <w:t>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产品简称</w:t>
            </w:r>
          </w:p>
        </w:tc>
        <w:tc>
          <w:tcPr>
            <w:tcW w:w="7185" w:type="dxa"/>
            <w:noWrap w:val="0"/>
            <w:vAlign w:val="center"/>
          </w:tcPr>
          <w:p>
            <w:pPr>
              <w:widowControl/>
              <w:spacing w:line="360" w:lineRule="auto"/>
              <w:contextualSpacing/>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半年添益2004期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cs="宋体"/>
                <w:sz w:val="21"/>
                <w:szCs w:val="21"/>
                <w:highlight w:val="none"/>
              </w:rPr>
            </w:pPr>
            <w:r>
              <w:rPr>
                <w:rFonts w:hint="eastAsia" w:ascii="宋体" w:hAnsi="宋体" w:cs="宋体"/>
                <w:sz w:val="21"/>
                <w:szCs w:val="21"/>
                <w:highlight w:val="none"/>
              </w:rPr>
              <w:t>产品编号</w:t>
            </w:r>
          </w:p>
        </w:tc>
        <w:tc>
          <w:tcPr>
            <w:tcW w:w="7185" w:type="dxa"/>
            <w:noWrap w:val="0"/>
            <w:vAlign w:val="center"/>
          </w:tcPr>
          <w:p>
            <w:pPr>
              <w:widowControl/>
              <w:spacing w:line="360" w:lineRule="auto"/>
              <w:contextualSpacing/>
              <w:rPr>
                <w:rFonts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cs="宋体"/>
                <w:color w:val="000000"/>
                <w:sz w:val="21"/>
                <w:szCs w:val="21"/>
                <w:highlight w:val="none"/>
                <w:lang w:val="en-US" w:eastAsia="zh-CN"/>
              </w:rPr>
              <w:t>TYG6M2004</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登记编码</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本理财计划在全国银行业理财信息登记系统的原登记编码是〖C1092020000119〗</w:t>
            </w:r>
            <w:r>
              <w:rPr>
                <w:rFonts w:hint="eastAsia" w:ascii="宋体" w:hAnsi="宋体" w:cs="宋体"/>
                <w:color w:val="000000"/>
                <w:kern w:val="0"/>
                <w:highlight w:val="none"/>
              </w:rPr>
              <w:t>，</w:t>
            </w:r>
            <w:r>
              <w:rPr>
                <w:rFonts w:hint="eastAsia" w:ascii="宋体" w:hAnsi="宋体" w:cs="宋体"/>
                <w:color w:val="000000"/>
                <w:sz w:val="21"/>
                <w:szCs w:val="21"/>
                <w:highlight w:val="none"/>
              </w:rPr>
              <w:t>变更登记后为〖Z7002221000091〗，投资者可依据该编码在“中国理财网（www.chinawealth.com.cn）”查询本理财计划信息。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发行对象</w:t>
            </w:r>
          </w:p>
        </w:tc>
        <w:tc>
          <w:tcPr>
            <w:tcW w:w="7185" w:type="dxa"/>
            <w:noWrap w:val="0"/>
            <w:vAlign w:val="center"/>
          </w:tcPr>
          <w:p>
            <w:pPr>
              <w:widowControl/>
              <w:spacing w:line="360" w:lineRule="auto"/>
              <w:contextualSpacing/>
              <w:rPr>
                <w:rFonts w:hint="eastAsia" w:ascii="宋体" w:hAnsi="宋体" w:cs="宋体"/>
                <w:bCs/>
                <w:color w:val="auto"/>
                <w:kern w:val="2"/>
                <w:sz w:val="21"/>
                <w:szCs w:val="21"/>
                <w:highlight w:val="none"/>
                <w:lang w:eastAsia="zh-CN"/>
              </w:rPr>
            </w:pPr>
            <w:r>
              <w:rPr>
                <w:rFonts w:hint="eastAsia" w:ascii="宋体" w:hAnsi="宋体" w:cs="宋体"/>
                <w:color w:val="000000"/>
                <w:sz w:val="21"/>
                <w:szCs w:val="21"/>
                <w:highlight w:val="none"/>
              </w:rPr>
              <w:t>本理财计划适合</w:t>
            </w:r>
            <w:r>
              <w:rPr>
                <w:rFonts w:hint="eastAsia" w:ascii="宋体" w:hAnsi="宋体" w:cs="宋体"/>
                <w:b/>
                <w:sz w:val="21"/>
                <w:szCs w:val="21"/>
                <w:highlight w:val="none"/>
              </w:rPr>
              <w:t>〖</w:t>
            </w:r>
            <w:r>
              <w:rPr>
                <w:rFonts w:hint="eastAsia" w:ascii="宋体" w:hAnsi="宋体" w:cs="宋体"/>
                <w:b/>
                <w:color w:val="000000"/>
                <w:sz w:val="21"/>
                <w:szCs w:val="21"/>
                <w:highlight w:val="none"/>
              </w:rPr>
              <w:t>机构投资者</w:t>
            </w:r>
            <w:r>
              <w:rPr>
                <w:rFonts w:hint="eastAsia" w:ascii="宋体" w:hAnsi="宋体" w:cs="宋体"/>
                <w:b/>
                <w:sz w:val="21"/>
                <w:szCs w:val="21"/>
                <w:highlight w:val="none"/>
              </w:rPr>
              <w:t>〗</w:t>
            </w:r>
            <w:r>
              <w:rPr>
                <w:rFonts w:hint="eastAsia" w:ascii="宋体" w:hAnsi="宋体" w:cs="宋体"/>
                <w:b/>
                <w:color w:val="000000"/>
                <w:sz w:val="21"/>
                <w:szCs w:val="21"/>
                <w:highlight w:val="none"/>
              </w:rPr>
              <w:t>以及</w:t>
            </w:r>
            <w:r>
              <w:rPr>
                <w:rFonts w:hint="eastAsia" w:ascii="宋体" w:hAnsi="宋体" w:cs="宋体"/>
                <w:b/>
                <w:sz w:val="21"/>
                <w:szCs w:val="21"/>
                <w:highlight w:val="none"/>
              </w:rPr>
              <w:t>〖稳健型、平衡型、成长型、进取型〗</w:t>
            </w:r>
            <w:r>
              <w:rPr>
                <w:rFonts w:hint="eastAsia" w:ascii="宋体" w:hAnsi="宋体" w:cs="宋体"/>
                <w:b/>
                <w:color w:val="000000"/>
                <w:sz w:val="21"/>
                <w:szCs w:val="21"/>
                <w:highlight w:val="none"/>
              </w:rPr>
              <w:t>的个人投资者。</w:t>
            </w:r>
            <w:r>
              <w:rPr>
                <w:rFonts w:hint="eastAsia" w:ascii="宋体" w:hAnsi="宋体" w:cs="宋体"/>
                <w:bCs/>
                <w:color w:val="auto"/>
                <w:kern w:val="2"/>
                <w:sz w:val="21"/>
                <w:szCs w:val="21"/>
                <w:highlight w:val="none"/>
                <w:lang w:eastAsia="zh-CN"/>
              </w:rPr>
              <w:t>投资者风险承受能力评级水平以销售机构评估为准。</w:t>
            </w:r>
          </w:p>
          <w:p>
            <w:pPr>
              <w:widowControl/>
              <w:spacing w:line="360" w:lineRule="auto"/>
              <w:contextualSpacing/>
              <w:rPr>
                <w:rFonts w:hint="eastAsia" w:ascii="宋体" w:hAnsi="宋体" w:cs="宋体"/>
                <w:color w:val="auto"/>
                <w:sz w:val="21"/>
                <w:szCs w:val="21"/>
                <w:highlight w:val="none"/>
                <w:lang w:eastAsia="zh-CN"/>
              </w:rPr>
            </w:pPr>
            <w:r>
              <w:rPr>
                <w:rFonts w:hint="eastAsia" w:ascii="宋体" w:hAnsi="宋体" w:cs="宋体"/>
                <w:b w:val="0"/>
                <w:bCs/>
                <w:color w:val="auto"/>
                <w:sz w:val="21"/>
                <w:szCs w:val="21"/>
                <w:highlight w:val="none"/>
                <w:lang w:val="en-US" w:eastAsia="zh-CN"/>
              </w:rPr>
              <w:t>A份额</w:t>
            </w:r>
            <w:r>
              <w:rPr>
                <w:rFonts w:hint="eastAsia" w:ascii="宋体" w:hAnsi="宋体" w:cs="宋体"/>
                <w:b w:val="0"/>
                <w:bCs/>
                <w:color w:val="auto"/>
                <w:sz w:val="21"/>
                <w:szCs w:val="21"/>
                <w:highlight w:val="none"/>
                <w:lang w:eastAsia="zh-CN"/>
              </w:rPr>
              <w:t>（销售代码〖</w:t>
            </w:r>
            <w:r>
              <w:rPr>
                <w:rFonts w:hint="eastAsia" w:ascii="宋体" w:hAnsi="宋体" w:cs="宋体"/>
                <w:color w:val="000000"/>
                <w:sz w:val="21"/>
                <w:szCs w:val="21"/>
                <w:highlight w:val="none"/>
                <w:lang w:val="en-US" w:eastAsia="zh-CN"/>
              </w:rPr>
              <w:t>TYG6M2004</w:t>
            </w: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面向</w:t>
            </w:r>
            <w:r>
              <w:rPr>
                <w:rFonts w:hint="eastAsia" w:ascii="宋体" w:hAnsi="宋体" w:cs="宋体"/>
                <w:b w:val="0"/>
                <w:bCs/>
                <w:color w:val="auto"/>
                <w:sz w:val="21"/>
                <w:szCs w:val="21"/>
                <w:highlight w:val="none"/>
                <w:lang w:eastAsia="zh-CN"/>
              </w:rPr>
              <w:t>〖普通个人投资者和机构客户〗发售</w:t>
            </w:r>
            <w:r>
              <w:rPr>
                <w:rFonts w:hint="eastAsia" w:ascii="宋体" w:hAnsi="宋体" w:cs="宋体"/>
                <w:color w:val="auto"/>
                <w:sz w:val="21"/>
                <w:szCs w:val="21"/>
                <w:highlight w:val="none"/>
                <w:lang w:eastAsia="zh-CN"/>
              </w:rPr>
              <w:t>。</w:t>
            </w:r>
          </w:p>
          <w:p>
            <w:pPr>
              <w:widowControl/>
              <w:spacing w:line="360" w:lineRule="auto"/>
              <w:contextualSpacing/>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B份额</w:t>
            </w:r>
            <w:r>
              <w:rPr>
                <w:rFonts w:hint="eastAsia" w:ascii="宋体" w:hAnsi="宋体" w:cs="宋体"/>
                <w:b w:val="0"/>
                <w:bCs/>
                <w:color w:val="auto"/>
                <w:sz w:val="21"/>
                <w:szCs w:val="21"/>
                <w:highlight w:val="none"/>
                <w:lang w:eastAsia="zh-CN"/>
              </w:rPr>
              <w:t>（销售代码〖</w:t>
            </w:r>
            <w:r>
              <w:rPr>
                <w:rFonts w:hint="eastAsia" w:ascii="宋体" w:hAnsi="宋体" w:cs="宋体"/>
                <w:color w:val="000000"/>
                <w:sz w:val="21"/>
                <w:szCs w:val="21"/>
                <w:highlight w:val="none"/>
                <w:lang w:val="en-US" w:eastAsia="zh-CN"/>
              </w:rPr>
              <w:t>TYG6M2004</w:t>
            </w:r>
            <w:r>
              <w:rPr>
                <w:rFonts w:hint="eastAsia" w:ascii="宋体" w:hAnsi="宋体" w:cs="宋体"/>
                <w:b w:val="0"/>
                <w:bCs/>
                <w:color w:val="auto"/>
                <w:sz w:val="21"/>
                <w:szCs w:val="21"/>
                <w:highlight w:val="none"/>
                <w:lang w:val="en-US" w:eastAsia="zh-CN"/>
              </w:rPr>
              <w:t>B</w:t>
            </w: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面向</w:t>
            </w:r>
            <w:r>
              <w:rPr>
                <w:rFonts w:hint="eastAsia" w:ascii="宋体" w:hAnsi="宋体" w:cs="宋体"/>
                <w:b w:val="0"/>
                <w:bCs/>
                <w:color w:val="auto"/>
                <w:sz w:val="21"/>
                <w:szCs w:val="21"/>
                <w:highlight w:val="none"/>
                <w:lang w:eastAsia="zh-CN"/>
              </w:rPr>
              <w:t>〖特定客群专属〗发售</w:t>
            </w:r>
            <w:r>
              <w:rPr>
                <w:rFonts w:hint="eastAsia" w:ascii="宋体" w:hAnsi="宋体" w:cs="宋体"/>
                <w:color w:val="auto"/>
                <w:sz w:val="21"/>
                <w:szCs w:val="21"/>
                <w:highlight w:val="none"/>
                <w:lang w:eastAsia="zh-CN"/>
              </w:rPr>
              <w:t>。</w:t>
            </w:r>
          </w:p>
          <w:p>
            <w:pPr>
              <w:widowControl/>
              <w:spacing w:line="360" w:lineRule="auto"/>
              <w:contextualSpacing/>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W份额</w:t>
            </w:r>
            <w:r>
              <w:rPr>
                <w:rFonts w:hint="eastAsia" w:ascii="宋体" w:hAnsi="宋体" w:cs="宋体"/>
                <w:b w:val="0"/>
                <w:bCs/>
                <w:color w:val="auto"/>
                <w:sz w:val="21"/>
                <w:szCs w:val="21"/>
                <w:highlight w:val="none"/>
                <w:lang w:eastAsia="zh-CN"/>
              </w:rPr>
              <w:t>（销售代码〖</w:t>
            </w:r>
            <w:r>
              <w:rPr>
                <w:rFonts w:hint="eastAsia" w:ascii="宋体" w:hAnsi="宋体" w:cs="宋体"/>
                <w:color w:val="000000"/>
                <w:sz w:val="21"/>
                <w:szCs w:val="21"/>
                <w:highlight w:val="none"/>
                <w:lang w:val="en-US" w:eastAsia="zh-CN"/>
              </w:rPr>
              <w:t>TYG6M2004W</w:t>
            </w: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面向</w:t>
            </w:r>
            <w:r>
              <w:rPr>
                <w:rFonts w:hint="eastAsia" w:ascii="宋体" w:hAnsi="宋体" w:cs="宋体"/>
                <w:b w:val="0"/>
                <w:bCs/>
                <w:color w:val="auto"/>
                <w:sz w:val="21"/>
                <w:szCs w:val="21"/>
                <w:highlight w:val="none"/>
                <w:lang w:eastAsia="zh-CN"/>
              </w:rPr>
              <w:t>〖普通个人投资者和机构客户〗发售。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发行方式</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sz w:val="21"/>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产品类型</w:t>
            </w:r>
          </w:p>
        </w:tc>
        <w:tc>
          <w:tcPr>
            <w:tcW w:w="7185" w:type="dxa"/>
            <w:noWrap w:val="0"/>
            <w:vAlign w:val="center"/>
          </w:tcPr>
          <w:p>
            <w:pPr>
              <w:widowControl/>
              <w:spacing w:line="360" w:lineRule="auto"/>
              <w:contextualSpacing/>
              <w:rPr>
                <w:rFonts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固定收益类</w:t>
            </w:r>
            <w:r>
              <w:rPr>
                <w:rFonts w:hint="eastAsia" w:ascii="宋体" w:hAnsi="宋体" w:cs="宋体"/>
                <w:sz w:val="21"/>
                <w:szCs w:val="21"/>
                <w:highlight w:val="none"/>
              </w:rPr>
              <w:t>〗</w:t>
            </w:r>
            <w:r>
              <w:rPr>
                <w:rFonts w:hint="eastAsia" w:ascii="宋体" w:hAnsi="宋体" w:cs="宋体"/>
                <w:color w:val="000000"/>
                <w:sz w:val="21"/>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运作模式</w:t>
            </w:r>
          </w:p>
        </w:tc>
        <w:tc>
          <w:tcPr>
            <w:tcW w:w="7185" w:type="dxa"/>
            <w:noWrap w:val="0"/>
            <w:vAlign w:val="center"/>
          </w:tcPr>
          <w:p>
            <w:pPr>
              <w:widowControl/>
              <w:spacing w:line="360" w:lineRule="auto"/>
              <w:contextualSpacing/>
              <w:rPr>
                <w:rFonts w:ascii="宋体" w:hAnsi="宋体" w:cs="宋体"/>
                <w:color w:val="000000"/>
                <w:sz w:val="21"/>
                <w:szCs w:val="21"/>
                <w:highlight w:val="none"/>
              </w:rPr>
            </w:pPr>
            <w:r>
              <w:rPr>
                <w:rFonts w:hint="eastAsia" w:ascii="宋体" w:hAnsi="宋体" w:cs="宋体"/>
                <w:color w:val="000000"/>
                <w:sz w:val="21"/>
                <w:szCs w:val="21"/>
                <w:highlight w:val="none"/>
              </w:rPr>
              <w:t>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分级产品</w:t>
            </w:r>
          </w:p>
        </w:tc>
        <w:tc>
          <w:tcPr>
            <w:tcW w:w="7185" w:type="dxa"/>
            <w:noWrap w:val="0"/>
            <w:vAlign w:val="center"/>
          </w:tcPr>
          <w:p>
            <w:pPr>
              <w:widowControl/>
              <w:spacing w:line="360" w:lineRule="auto"/>
              <w:contextualSpacing/>
              <w:rPr>
                <w:rFonts w:hint="eastAsia" w:ascii="宋体" w:hAnsi="宋体" w:cs="宋体"/>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否</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销售范围</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cs="宋体"/>
                <w:color w:val="000000"/>
                <w:sz w:val="21"/>
                <w:szCs w:val="21"/>
                <w:highlight w:val="none"/>
              </w:rPr>
              <w:t>全国</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销售渠道</w:t>
            </w:r>
          </w:p>
        </w:tc>
        <w:tc>
          <w:tcPr>
            <w:tcW w:w="7185" w:type="dxa"/>
            <w:noWrap w:val="0"/>
            <w:vAlign w:val="center"/>
          </w:tcPr>
          <w:p>
            <w:pPr>
              <w:widowControl/>
              <w:spacing w:line="360" w:lineRule="auto"/>
              <w:contextualSpacing/>
              <w:jc w:val="left"/>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可通过</w:t>
            </w:r>
            <w:r>
              <w:rPr>
                <w:rFonts w:hint="eastAsia" w:ascii="宋体" w:hAnsi="宋体" w:cs="宋体"/>
                <w:color w:val="000000"/>
                <w:sz w:val="21"/>
                <w:szCs w:val="21"/>
                <w:highlight w:val="none"/>
                <w:lang w:eastAsia="zh-CN"/>
              </w:rPr>
              <w:t>杭银理财直销渠道和代理</w:t>
            </w:r>
            <w:r>
              <w:rPr>
                <w:rFonts w:hint="eastAsia" w:ascii="宋体" w:hAnsi="宋体" w:cs="宋体"/>
                <w:color w:val="000000"/>
                <w:sz w:val="21"/>
                <w:szCs w:val="21"/>
                <w:highlight w:val="none"/>
              </w:rPr>
              <w:t>销售机构的</w:t>
            </w:r>
            <w:r>
              <w:rPr>
                <w:rFonts w:hint="eastAsia" w:ascii="宋体" w:hAnsi="宋体" w:cs="宋体"/>
                <w:sz w:val="21"/>
                <w:szCs w:val="21"/>
                <w:highlight w:val="none"/>
              </w:rPr>
              <w:t>〖</w:t>
            </w:r>
            <w:r>
              <w:rPr>
                <w:rFonts w:hint="eastAsia" w:ascii="宋体" w:hAnsi="宋体" w:cs="宋体"/>
                <w:color w:val="000000"/>
                <w:sz w:val="21"/>
                <w:szCs w:val="21"/>
                <w:highlight w:val="none"/>
              </w:rPr>
              <w:t>营业网点、网上银行、手机银行</w:t>
            </w:r>
            <w:r>
              <w:rPr>
                <w:rFonts w:hint="eastAsia" w:ascii="宋体" w:hAnsi="宋体" w:cs="宋体"/>
                <w:sz w:val="21"/>
                <w:szCs w:val="21"/>
                <w:highlight w:val="none"/>
              </w:rPr>
              <w:t>〗</w:t>
            </w:r>
            <w:r>
              <w:rPr>
                <w:rFonts w:hint="eastAsia" w:ascii="宋体" w:hAnsi="宋体" w:cs="宋体"/>
                <w:color w:val="000000"/>
                <w:sz w:val="21"/>
                <w:szCs w:val="21"/>
                <w:highlight w:val="none"/>
              </w:rPr>
              <w:t>等渠道购买</w:t>
            </w:r>
            <w:r>
              <w:rPr>
                <w:rFonts w:hint="eastAsia" w:ascii="宋体" w:hAnsi="宋体" w:cs="宋体"/>
                <w:color w:val="000000"/>
                <w:sz w:val="21"/>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交易币种</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cs="宋体"/>
                <w:color w:val="000000"/>
                <w:sz w:val="21"/>
                <w:szCs w:val="21"/>
                <w:highlight w:val="none"/>
              </w:rPr>
              <w:t>人民币</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发行规模上限</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100</w:t>
            </w:r>
            <w:r>
              <w:rPr>
                <w:rFonts w:hint="eastAsia" w:ascii="宋体" w:hAnsi="宋体" w:cs="宋体"/>
                <w:color w:val="000000"/>
                <w:sz w:val="21"/>
                <w:szCs w:val="21"/>
                <w:highlight w:val="none"/>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2020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〗日-〖</w:t>
            </w:r>
            <w:r>
              <w:rPr>
                <w:rFonts w:hint="eastAsia" w:ascii="宋体" w:hAnsi="宋体" w:cs="宋体"/>
                <w:color w:val="000000"/>
                <w:sz w:val="21"/>
                <w:szCs w:val="21"/>
                <w:highlight w:val="none"/>
                <w:lang w:val="en-US" w:eastAsia="zh-CN"/>
              </w:rPr>
              <w:t>2020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6</w:t>
            </w:r>
            <w:r>
              <w:rPr>
                <w:rFonts w:hint="eastAsia" w:ascii="宋体" w:hAnsi="宋体" w:cs="宋体"/>
                <w:color w:val="000000"/>
                <w:sz w:val="21"/>
                <w:szCs w:val="21"/>
                <w:highlight w:val="none"/>
              </w:rPr>
              <w:t>〗日</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认购时间</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认购期首日〖9：00〗至认购结束日〖17：00〗</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成立日</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2020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7</w:t>
            </w:r>
            <w:r>
              <w:rPr>
                <w:rFonts w:hint="eastAsia" w:ascii="宋体" w:hAnsi="宋体" w:cs="宋体"/>
                <w:color w:val="000000"/>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理财期限</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无固定期限（实际理财期限受制于管理人提前终止权等条款）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认购/申购</w:t>
            </w:r>
          </w:p>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起点金额</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A</w:t>
            </w:r>
            <w:r>
              <w:rPr>
                <w:rFonts w:hint="eastAsia" w:ascii="宋体" w:hAnsi="宋体" w:cs="宋体"/>
                <w:bCs/>
                <w:color w:val="auto"/>
                <w:sz w:val="21"/>
                <w:szCs w:val="21"/>
                <w:highlight w:val="none"/>
                <w:lang w:val="en-US" w:eastAsia="zh-CN"/>
              </w:rPr>
              <w:t>份额</w:t>
            </w:r>
            <w:r>
              <w:rPr>
                <w:rFonts w:hint="eastAsia" w:ascii="宋体" w:hAnsi="宋体" w:cs="宋体"/>
                <w:color w:val="auto"/>
                <w:sz w:val="21"/>
                <w:szCs w:val="21"/>
                <w:highlight w:val="none"/>
              </w:rPr>
              <w:t>〗</w:t>
            </w:r>
            <w:r>
              <w:rPr>
                <w:rFonts w:hint="eastAsia" w:ascii="宋体" w:hAnsi="宋体" w:cs="宋体"/>
                <w:color w:val="000000"/>
                <w:sz w:val="21"/>
                <w:szCs w:val="21"/>
                <w:highlight w:val="none"/>
              </w:rPr>
              <w:t>起点</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color w:val="000000"/>
                <w:sz w:val="21"/>
                <w:szCs w:val="21"/>
                <w:highlight w:val="none"/>
              </w:rPr>
              <w:t>元整，超过认购/申购起点部分，应为</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color w:val="000000"/>
                <w:sz w:val="21"/>
                <w:szCs w:val="21"/>
                <w:highlight w:val="none"/>
              </w:rPr>
              <w:t>元的整数倍。</w:t>
            </w:r>
          </w:p>
          <w:p>
            <w:pPr>
              <w:widowControl/>
              <w:spacing w:line="360" w:lineRule="auto"/>
              <w:contextualSpacing/>
              <w:rPr>
                <w:rFonts w:hint="eastAsia" w:ascii="宋体" w:hAnsi="宋体" w:cs="宋体"/>
                <w:color w:val="000000"/>
                <w:sz w:val="21"/>
                <w:szCs w:val="21"/>
                <w:highlight w:val="none"/>
                <w:lang w:eastAsia="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B</w:t>
            </w:r>
            <w:r>
              <w:rPr>
                <w:rFonts w:hint="eastAsia" w:ascii="宋体" w:hAnsi="宋体" w:cs="宋体"/>
                <w:bCs/>
                <w:color w:val="auto"/>
                <w:sz w:val="21"/>
                <w:szCs w:val="21"/>
                <w:highlight w:val="none"/>
                <w:lang w:val="en-US" w:eastAsia="zh-CN"/>
              </w:rPr>
              <w:t>份额</w:t>
            </w:r>
            <w:r>
              <w:rPr>
                <w:rFonts w:hint="eastAsia" w:ascii="宋体" w:hAnsi="宋体" w:cs="宋体"/>
                <w:color w:val="auto"/>
                <w:sz w:val="21"/>
                <w:szCs w:val="21"/>
                <w:highlight w:val="none"/>
              </w:rPr>
              <w:t>〗</w:t>
            </w:r>
            <w:r>
              <w:rPr>
                <w:rFonts w:hint="eastAsia" w:ascii="宋体" w:hAnsi="宋体" w:cs="宋体"/>
                <w:color w:val="000000"/>
                <w:sz w:val="21"/>
                <w:szCs w:val="21"/>
                <w:highlight w:val="none"/>
              </w:rPr>
              <w:t>起点</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color w:val="000000"/>
                <w:sz w:val="21"/>
                <w:szCs w:val="21"/>
                <w:highlight w:val="none"/>
              </w:rPr>
              <w:t>元整，超过认购/申购起点部分，应为</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color w:val="000000"/>
                <w:sz w:val="21"/>
                <w:szCs w:val="21"/>
                <w:highlight w:val="none"/>
              </w:rPr>
              <w:t>元的整数倍</w:t>
            </w:r>
            <w:r>
              <w:rPr>
                <w:rFonts w:hint="eastAsia" w:ascii="宋体" w:hAnsi="宋体" w:cs="宋体"/>
                <w:color w:val="000000"/>
                <w:sz w:val="21"/>
                <w:szCs w:val="21"/>
                <w:highlight w:val="none"/>
                <w:lang w:eastAsia="zh-CN"/>
              </w:rPr>
              <w:t>。</w:t>
            </w:r>
          </w:p>
          <w:p>
            <w:pPr>
              <w:widowControl/>
              <w:spacing w:line="360" w:lineRule="auto"/>
              <w:contextualSpacing/>
              <w:rPr>
                <w:rFonts w:hint="eastAsia" w:ascii="宋体" w:hAnsi="宋体" w:cs="宋体"/>
                <w:color w:val="000000"/>
                <w:sz w:val="21"/>
                <w:szCs w:val="21"/>
                <w:highlight w:val="none"/>
                <w:lang w:eastAsia="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W</w:t>
            </w:r>
            <w:r>
              <w:rPr>
                <w:rFonts w:hint="eastAsia" w:ascii="宋体" w:hAnsi="宋体" w:cs="宋体"/>
                <w:bCs/>
                <w:color w:val="auto"/>
                <w:sz w:val="21"/>
                <w:szCs w:val="21"/>
                <w:highlight w:val="none"/>
                <w:lang w:val="en-US" w:eastAsia="zh-CN"/>
              </w:rPr>
              <w:t>份额</w:t>
            </w:r>
            <w:r>
              <w:rPr>
                <w:rFonts w:hint="eastAsia" w:ascii="宋体" w:hAnsi="宋体" w:cs="宋体"/>
                <w:color w:val="auto"/>
                <w:sz w:val="21"/>
                <w:szCs w:val="21"/>
                <w:highlight w:val="none"/>
              </w:rPr>
              <w:t>〗</w:t>
            </w:r>
            <w:r>
              <w:rPr>
                <w:rFonts w:hint="eastAsia" w:ascii="宋体" w:hAnsi="宋体" w:cs="宋体"/>
                <w:color w:val="000000"/>
                <w:sz w:val="21"/>
                <w:szCs w:val="21"/>
                <w:highlight w:val="none"/>
              </w:rPr>
              <w:t>起点</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color w:val="000000"/>
                <w:sz w:val="21"/>
                <w:szCs w:val="21"/>
                <w:highlight w:val="none"/>
              </w:rPr>
              <w:t>元整，超过认购/申购起点部分，应为</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color w:val="000000"/>
                <w:sz w:val="21"/>
                <w:szCs w:val="21"/>
                <w:highlight w:val="none"/>
              </w:rPr>
              <w:t>元的整数倍</w:t>
            </w:r>
            <w:r>
              <w:rPr>
                <w:rFonts w:hint="eastAsia" w:ascii="宋体" w:hAnsi="宋体" w:cs="宋体"/>
                <w:color w:val="000000"/>
                <w:sz w:val="21"/>
                <w:szCs w:val="21"/>
                <w:highlight w:val="none"/>
                <w:lang w:eastAsia="zh-CN"/>
              </w:rPr>
              <w:t>。</w:t>
            </w:r>
          </w:p>
          <w:p>
            <w:pPr>
              <w:widowControl/>
              <w:spacing w:line="360" w:lineRule="auto"/>
              <w:contextualSpacing/>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（具体以销售机构规定为准）</w:t>
            </w:r>
          </w:p>
          <w:p>
            <w:pPr>
              <w:widowControl/>
              <w:spacing w:line="360" w:lineRule="auto"/>
              <w:contextualSpacing/>
              <w:rPr>
                <w:rFonts w:hint="eastAsia" w:ascii="宋体" w:hAnsi="宋体" w:cs="宋体"/>
                <w:color w:val="000000"/>
                <w:kern w:val="0"/>
                <w:sz w:val="21"/>
                <w:szCs w:val="21"/>
                <w:highlight w:val="none"/>
                <w:lang w:val="en-US" w:eastAsia="zh-CN"/>
              </w:rPr>
            </w:pPr>
            <w:r>
              <w:rPr>
                <w:rFonts w:hint="eastAsia" w:ascii="宋体" w:hAnsi="宋体" w:cs="宋体"/>
                <w:color w:val="auto"/>
                <w:kern w:val="2"/>
                <w:sz w:val="21"/>
                <w:szCs w:val="21"/>
                <w:highlight w:val="none"/>
              </w:rPr>
              <w:t>投资者全额赎回不再持有本产品份额后再次申购，视同首次申购处理。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认购份额</w:t>
            </w:r>
          </w:p>
        </w:tc>
        <w:tc>
          <w:tcPr>
            <w:tcW w:w="7185" w:type="dxa"/>
            <w:noWrap w:val="0"/>
            <w:vAlign w:val="center"/>
          </w:tcPr>
          <w:p>
            <w:pPr>
              <w:widowControl/>
              <w:spacing w:line="360" w:lineRule="auto"/>
              <w:contextualSpacing/>
              <w:rPr>
                <w:rFonts w:ascii="宋体" w:hAnsi="宋体" w:cs="宋体"/>
                <w:color w:val="000000"/>
                <w:sz w:val="21"/>
                <w:szCs w:val="21"/>
                <w:highlight w:val="none"/>
              </w:rPr>
            </w:pPr>
            <w:r>
              <w:rPr>
                <w:rFonts w:hint="eastAsia" w:ascii="宋体" w:hAnsi="宋体" w:cs="宋体"/>
                <w:color w:val="000000"/>
                <w:sz w:val="21"/>
                <w:szCs w:val="21"/>
                <w:highlight w:val="none"/>
              </w:rPr>
              <w:t>认购份额=认购金额/1元。认购份额保留至0.01份理财产品份额，小数点后两位以下四舍五入。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产品成立</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cs="宋体"/>
                <w:sz w:val="21"/>
                <w:szCs w:val="21"/>
                <w:highlight w:val="none"/>
              </w:rPr>
              <w:t>〖</w:t>
            </w:r>
            <w:r>
              <w:rPr>
                <w:rFonts w:hint="eastAsia" w:ascii="宋体" w:hAnsi="宋体" w:cs="宋体"/>
                <w:sz w:val="21"/>
                <w:szCs w:val="21"/>
                <w:highlight w:val="none"/>
                <w:lang w:val="en-US" w:eastAsia="zh-CN"/>
              </w:rPr>
              <w:t>2000</w:t>
            </w:r>
            <w:r>
              <w:rPr>
                <w:rFonts w:hint="eastAsia" w:ascii="宋体" w:hAnsi="宋体" w:cs="宋体"/>
                <w:sz w:val="21"/>
                <w:szCs w:val="21"/>
                <w:highlight w:val="none"/>
              </w:rPr>
              <w:t>〗</w:t>
            </w:r>
            <w:r>
              <w:rPr>
                <w:rFonts w:hint="eastAsia" w:ascii="宋体" w:hAnsi="宋体" w:cs="宋体"/>
                <w:color w:val="000000"/>
                <w:sz w:val="21"/>
                <w:szCs w:val="21"/>
                <w:highlight w:val="none"/>
              </w:rPr>
              <w:t>万元，则管理人可宣布本理财计划不成立并在原定理财计划成立日</w:t>
            </w:r>
            <w:r>
              <w:rPr>
                <w:rFonts w:hint="eastAsia" w:ascii="宋体" w:hAnsi="宋体" w:cs="宋体"/>
                <w:color w:val="000000"/>
                <w:sz w:val="21"/>
                <w:szCs w:val="21"/>
                <w:highlight w:val="none"/>
                <w:lang w:val="en-US" w:eastAsia="zh-CN"/>
              </w:rPr>
              <w:t>当日</w:t>
            </w:r>
            <w:r>
              <w:rPr>
                <w:rFonts w:hint="eastAsia" w:ascii="宋体" w:hAnsi="宋体" w:cs="宋体"/>
                <w:color w:val="000000"/>
                <w:sz w:val="21"/>
                <w:szCs w:val="21"/>
                <w:highlight w:val="none"/>
              </w:rPr>
              <w:t>通过管理人或销售机构发布不成立信息，投资者购买的理财资金将在原定成立日后2个工作日内划转至投资者指定理财账户，</w:t>
            </w:r>
            <w:r>
              <w:rPr>
                <w:rFonts w:hint="eastAsia" w:ascii="宋体" w:hAnsi="宋体" w:cs="宋体"/>
                <w:b/>
                <w:color w:val="000000"/>
                <w:sz w:val="21"/>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开放期</w:t>
            </w:r>
          </w:p>
        </w:tc>
        <w:tc>
          <w:tcPr>
            <w:tcW w:w="7185" w:type="dxa"/>
            <w:noWrap w:val="0"/>
            <w:vAlign w:val="center"/>
          </w:tcPr>
          <w:p>
            <w:pPr>
              <w:widowControl/>
              <w:spacing w:line="360" w:lineRule="auto"/>
              <w:contextualSpacing/>
              <w:rPr>
                <w:rFonts w:ascii="宋体" w:hAnsi="宋体" w:cs="宋体"/>
                <w:color w:val="000000"/>
                <w:sz w:val="21"/>
                <w:szCs w:val="21"/>
                <w:highlight w:val="none"/>
              </w:rPr>
            </w:pPr>
            <w:r>
              <w:rPr>
                <w:rFonts w:hint="eastAsia" w:ascii="宋体" w:hAnsi="宋体" w:cs="宋体"/>
                <w:color w:val="000000"/>
                <w:sz w:val="21"/>
                <w:szCs w:val="21"/>
                <w:highlight w:val="none"/>
              </w:rPr>
              <w:t>理财计划</w:t>
            </w:r>
            <w:r>
              <w:rPr>
                <w:rFonts w:hint="eastAsia" w:ascii="宋体" w:hAnsi="宋体" w:cs="宋体"/>
                <w:sz w:val="21"/>
                <w:szCs w:val="21"/>
                <w:highlight w:val="none"/>
                <w:lang w:val="en-US" w:eastAsia="zh-CN"/>
              </w:rPr>
              <w:t>〖每半年〗开放一次，具体开放期将以管理人公告为准。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交易时间</w:t>
            </w:r>
          </w:p>
        </w:tc>
        <w:tc>
          <w:tcPr>
            <w:tcW w:w="7185" w:type="dxa"/>
            <w:noWrap w:val="0"/>
            <w:vAlign w:val="center"/>
          </w:tcPr>
          <w:p>
            <w:pPr>
              <w:widowControl/>
              <w:spacing w:line="360" w:lineRule="auto"/>
              <w:contextualSpacing/>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1.本理财计划在每个开放期的开放日工作时间均可进行申购</w:t>
            </w:r>
            <w:r>
              <w:rPr>
                <w:rFonts w:hint="eastAsia" w:ascii="宋体" w:hAnsi="宋体" w:cs="宋体"/>
                <w:color w:val="000000"/>
                <w:sz w:val="21"/>
                <w:szCs w:val="21"/>
                <w:highlight w:val="none"/>
                <w:lang w:val="en-US" w:eastAsia="zh-CN"/>
              </w:rPr>
              <w:t>和赎回</w:t>
            </w:r>
            <w:r>
              <w:rPr>
                <w:rFonts w:hint="eastAsia" w:ascii="宋体" w:hAnsi="宋体" w:cs="宋体"/>
                <w:color w:val="000000"/>
                <w:sz w:val="21"/>
                <w:szCs w:val="21"/>
                <w:highlight w:val="none"/>
              </w:rPr>
              <w:t>，申购</w:t>
            </w:r>
            <w:r>
              <w:rPr>
                <w:rFonts w:hint="eastAsia" w:ascii="宋体" w:hAnsi="宋体" w:cs="宋体"/>
                <w:color w:val="000000"/>
                <w:sz w:val="21"/>
                <w:szCs w:val="21"/>
                <w:highlight w:val="none"/>
                <w:lang w:val="en-US" w:eastAsia="zh-CN"/>
              </w:rPr>
              <w:t>和赎回</w:t>
            </w:r>
            <w:r>
              <w:rPr>
                <w:rFonts w:hint="eastAsia" w:ascii="宋体" w:hAnsi="宋体" w:cs="宋体"/>
                <w:color w:val="000000"/>
                <w:sz w:val="21"/>
                <w:szCs w:val="21"/>
                <w:highlight w:val="none"/>
              </w:rPr>
              <w:t>申请将在确认日，即开放期后的第</w:t>
            </w:r>
            <w:r>
              <w:rPr>
                <w:rFonts w:hint="eastAsia" w:ascii="宋体" w:hAnsi="宋体" w:cs="宋体"/>
                <w:sz w:val="21"/>
                <w:szCs w:val="21"/>
                <w:highlight w:val="none"/>
              </w:rPr>
              <w:t>〖1〗个</w:t>
            </w:r>
            <w:r>
              <w:rPr>
                <w:rFonts w:hint="eastAsia" w:ascii="宋体" w:hAnsi="宋体" w:cs="宋体"/>
                <w:bCs/>
                <w:sz w:val="21"/>
                <w:szCs w:val="21"/>
                <w:highlight w:val="none"/>
              </w:rPr>
              <w:t>工作日进行确认。</w:t>
            </w:r>
            <w:r>
              <w:rPr>
                <w:rFonts w:hint="eastAsia" w:ascii="宋体" w:hAnsi="宋体" w:cs="宋体"/>
                <w:color w:val="000000"/>
                <w:sz w:val="21"/>
                <w:szCs w:val="21"/>
                <w:highlight w:val="none"/>
              </w:rPr>
              <w:t>确认日如遇非工作日，则顺延至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下一工作日</w:t>
            </w:r>
            <w:r>
              <w:rPr>
                <w:rFonts w:hint="eastAsia" w:ascii="宋体" w:hAnsi="宋体" w:cs="宋体"/>
                <w:sz w:val="21"/>
                <w:szCs w:val="21"/>
                <w:highlight w:val="none"/>
              </w:rPr>
              <w:t>〗</w:t>
            </w:r>
            <w:r>
              <w:rPr>
                <w:rFonts w:hint="eastAsia" w:ascii="宋体" w:hAnsi="宋体" w:cs="宋体"/>
                <w:color w:val="000000"/>
                <w:sz w:val="21"/>
                <w:szCs w:val="21"/>
                <w:highlight w:val="none"/>
              </w:rPr>
              <w:t>。</w:t>
            </w:r>
          </w:p>
          <w:p>
            <w:pPr>
              <w:widowControl/>
              <w:spacing w:line="360" w:lineRule="auto"/>
              <w:contextualSpacing/>
              <w:rPr>
                <w:rFonts w:hint="eastAsia" w:ascii="宋体" w:hAnsi="宋体" w:cs="宋体"/>
                <w:color w:val="000000"/>
                <w:kern w:val="0"/>
                <w:sz w:val="21"/>
                <w:szCs w:val="21"/>
                <w:highlight w:val="none"/>
              </w:rPr>
            </w:pP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.工作时间为每个工作日上午〖9:00〗至下午〖17:00〗。确认日如遇非工作日，则顺延至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下一工作日</w:t>
            </w:r>
            <w:r>
              <w:rPr>
                <w:rFonts w:hint="eastAsia" w:ascii="宋体" w:hAnsi="宋体" w:cs="宋体"/>
                <w:sz w:val="21"/>
                <w:szCs w:val="21"/>
                <w:highlight w:val="none"/>
              </w:rPr>
              <w:t>〗</w:t>
            </w:r>
            <w:r>
              <w:rPr>
                <w:rFonts w:hint="eastAsia" w:ascii="宋体" w:hAnsi="宋体" w:cs="宋体"/>
                <w:color w:val="000000"/>
                <w:sz w:val="21"/>
                <w:szCs w:val="21"/>
                <w:highlight w:val="none"/>
              </w:rPr>
              <w:t>。</w:t>
            </w:r>
            <w:r>
              <w:rPr>
                <w:rFonts w:hint="eastAsia" w:ascii="宋体" w:hAnsi="宋体" w:cs="宋体"/>
                <w:color w:val="000000"/>
                <w:kern w:val="0"/>
                <w:sz w:val="21"/>
                <w:szCs w:val="21"/>
                <w:highlight w:val="none"/>
              </w:rPr>
              <w:t>（具体以销售机构规定为准）</w:t>
            </w:r>
          </w:p>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认购/开放期内提交的交易申请，在产品成立日/确认日前一日下午17:00之前可以撤单。</w:t>
            </w:r>
            <w:r>
              <w:rPr>
                <w:rFonts w:hint="eastAsia" w:ascii="宋体" w:hAnsi="宋体" w:cs="宋体"/>
                <w:color w:val="000000"/>
                <w:kern w:val="0"/>
                <w:sz w:val="21"/>
                <w:szCs w:val="21"/>
                <w:highlight w:val="none"/>
              </w:rPr>
              <w:t>（具体以销售机构规定为准）</w:t>
            </w:r>
          </w:p>
          <w:p>
            <w:pPr>
              <w:widowControl/>
              <w:spacing w:line="360" w:lineRule="auto"/>
              <w:contextualSpacing/>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4.上述交易安排如有调整，请以管理人公告为准。</w:t>
            </w:r>
          </w:p>
          <w:p>
            <w:pPr>
              <w:widowControl/>
              <w:spacing w:line="360" w:lineRule="auto"/>
              <w:contextualSpacing/>
              <w:rPr>
                <w:rFonts w:hint="default" w:ascii="宋体" w:hAnsi="宋体" w:cs="宋体"/>
                <w:bCs/>
                <w:color w:val="auto"/>
                <w:sz w:val="21"/>
                <w:szCs w:val="21"/>
                <w:highlight w:val="none"/>
                <w:lang w:val="en-US" w:eastAsia="zh-CN"/>
              </w:rPr>
            </w:pPr>
            <w:r>
              <w:rPr>
                <w:rFonts w:hint="eastAsia" w:ascii="宋体" w:hAnsi="宋体" w:cs="宋体"/>
                <w:bCs/>
                <w:sz w:val="21"/>
                <w:szCs w:val="21"/>
              </w:rPr>
              <w:t>5.</w:t>
            </w:r>
            <w:r>
              <w:rPr>
                <w:rFonts w:hint="eastAsia" w:ascii="宋体" w:hAnsi="宋体" w:cs="宋体"/>
                <w:bCs/>
                <w:color w:val="auto"/>
                <w:kern w:val="2"/>
                <w:sz w:val="21"/>
                <w:szCs w:val="21"/>
              </w:rPr>
              <w:t>如果投资者在一个投资周期开放期内未提出赎回申请，则该投资周期终止后，投资者的理财资金继续进入下一个投资周期进行理财运作。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巨额赎回</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理财计划存续期内，若理财计划开放日净赎回申请份额超过上一日日终理财计划总份额</w:t>
            </w:r>
            <w:r>
              <w:rPr>
                <w:rFonts w:hint="eastAsia" w:ascii="宋体" w:hAnsi="宋体" w:cs="宋体"/>
                <w:sz w:val="21"/>
                <w:szCs w:val="21"/>
                <w:highlight w:val="none"/>
              </w:rPr>
              <w:t>〖</w:t>
            </w:r>
            <w:r>
              <w:rPr>
                <w:rFonts w:hint="eastAsia" w:ascii="宋体" w:hAnsi="宋体" w:cs="宋体"/>
                <w:color w:val="000000"/>
                <w:sz w:val="21"/>
                <w:szCs w:val="21"/>
                <w:highlight w:val="none"/>
              </w:rPr>
              <w:t>10%</w:t>
            </w:r>
            <w:r>
              <w:rPr>
                <w:rFonts w:hint="eastAsia" w:ascii="宋体" w:hAnsi="宋体" w:cs="宋体"/>
                <w:sz w:val="21"/>
                <w:szCs w:val="21"/>
                <w:highlight w:val="none"/>
              </w:rPr>
              <w:t>〗</w:t>
            </w:r>
            <w:r>
              <w:rPr>
                <w:rFonts w:hint="eastAsia" w:ascii="宋体" w:hAnsi="宋体" w:cs="宋体"/>
                <w:color w:val="000000"/>
                <w:sz w:val="21"/>
                <w:szCs w:val="21"/>
                <w:highlight w:val="none"/>
              </w:rPr>
              <w:t>时，管理人有权暂停或拒绝接受赎回申请，并最迟于下一工作日进行对外公告。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widowControl/>
              <w:spacing w:line="360" w:lineRule="auto"/>
              <w:contextualSpacing/>
              <w:rPr>
                <w:rFonts w:hint="eastAsia" w:ascii="宋体" w:hAnsi="宋体" w:eastAsia="宋体" w:cs="宋体"/>
                <w:color w:val="000000"/>
                <w:sz w:val="21"/>
                <w:szCs w:val="21"/>
                <w:highlight w:val="none"/>
                <w:lang w:val="en-US" w:eastAsia="zh-CN"/>
              </w:rPr>
            </w:pPr>
            <w:r>
              <w:rPr>
                <w:rFonts w:hint="eastAsia" w:ascii="宋体" w:hAnsi="宋体" w:cs="宋体"/>
                <w:sz w:val="21"/>
                <w:szCs w:val="21"/>
                <w:highlight w:val="none"/>
              </w:rPr>
              <w:t>单户最高存续份额为〖</w:t>
            </w:r>
            <w:r>
              <w:rPr>
                <w:rFonts w:hint="eastAsia" w:ascii="宋体" w:hAnsi="宋体" w:cs="宋体"/>
                <w:sz w:val="21"/>
                <w:szCs w:val="21"/>
                <w:highlight w:val="none"/>
                <w:lang w:val="en-US" w:eastAsia="zh-CN"/>
              </w:rPr>
              <w:t>1</w:t>
            </w:r>
            <w:r>
              <w:rPr>
                <w:rFonts w:hint="eastAsia" w:ascii="宋体" w:hAnsi="宋体" w:cs="宋体"/>
                <w:sz w:val="21"/>
                <w:szCs w:val="21"/>
                <w:highlight w:val="none"/>
              </w:rPr>
              <w:t>亿份〗</w:t>
            </w:r>
            <w:r>
              <w:rPr>
                <w:rFonts w:hint="eastAsia" w:ascii="宋体" w:hAnsi="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申购份额</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bCs/>
                <w:sz w:val="21"/>
                <w:szCs w:val="21"/>
                <w:highlight w:val="none"/>
              </w:rPr>
              <w:t>申购份额=申购金额/确认日</w:t>
            </w:r>
            <w:r>
              <w:rPr>
                <w:rFonts w:hint="eastAsia" w:ascii="宋体" w:hAnsi="宋体" w:cs="宋体"/>
                <w:bCs/>
                <w:sz w:val="21"/>
                <w:szCs w:val="21"/>
                <w:highlight w:val="none"/>
                <w:lang w:eastAsia="zh-CN"/>
              </w:rPr>
              <w:t>前一日</w:t>
            </w:r>
            <w:r>
              <w:rPr>
                <w:rFonts w:hint="eastAsia" w:ascii="宋体" w:hAnsi="宋体" w:cs="宋体"/>
                <w:bCs/>
                <w:sz w:val="21"/>
                <w:szCs w:val="21"/>
                <w:highlight w:val="none"/>
              </w:rPr>
              <w:t>的单位净值。申购</w:t>
            </w:r>
            <w:r>
              <w:rPr>
                <w:rFonts w:hint="eastAsia" w:ascii="宋体" w:hAnsi="宋体" w:cs="宋体"/>
                <w:color w:val="000000"/>
                <w:sz w:val="21"/>
                <w:szCs w:val="21"/>
                <w:highlight w:val="none"/>
              </w:rPr>
              <w:t>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赎回金额</w:t>
            </w:r>
          </w:p>
        </w:tc>
        <w:tc>
          <w:tcPr>
            <w:tcW w:w="7185" w:type="dxa"/>
            <w:noWrap w:val="0"/>
            <w:vAlign w:val="center"/>
          </w:tcPr>
          <w:p>
            <w:pPr>
              <w:widowControl/>
              <w:spacing w:line="360" w:lineRule="auto"/>
              <w:contextualSpacing/>
              <w:rPr>
                <w:rFonts w:ascii="宋体" w:hAnsi="宋体" w:cs="宋体"/>
                <w:color w:val="000000"/>
                <w:sz w:val="21"/>
                <w:szCs w:val="21"/>
                <w:highlight w:val="none"/>
              </w:rPr>
            </w:pPr>
            <w:r>
              <w:rPr>
                <w:rFonts w:hint="eastAsia" w:ascii="宋体" w:hAnsi="宋体" w:cs="宋体"/>
                <w:color w:val="000000"/>
                <w:sz w:val="21"/>
                <w:szCs w:val="21"/>
                <w:highlight w:val="none"/>
              </w:rPr>
              <w:t>赎回金额=赎</w:t>
            </w:r>
            <w:r>
              <w:rPr>
                <w:rFonts w:hint="eastAsia" w:ascii="宋体" w:hAnsi="宋体" w:cs="宋体"/>
                <w:bCs/>
                <w:sz w:val="21"/>
                <w:szCs w:val="21"/>
                <w:highlight w:val="none"/>
              </w:rPr>
              <w:t>回份额×确认日</w:t>
            </w:r>
            <w:r>
              <w:rPr>
                <w:rFonts w:hint="eastAsia" w:ascii="宋体" w:hAnsi="宋体" w:cs="宋体"/>
                <w:bCs/>
                <w:sz w:val="21"/>
                <w:szCs w:val="21"/>
                <w:highlight w:val="none"/>
                <w:lang w:eastAsia="zh-CN"/>
              </w:rPr>
              <w:t>前一日</w:t>
            </w:r>
            <w:r>
              <w:rPr>
                <w:rFonts w:hint="eastAsia" w:ascii="宋体" w:hAnsi="宋体" w:cs="宋体"/>
                <w:bCs/>
                <w:sz w:val="21"/>
                <w:szCs w:val="21"/>
                <w:highlight w:val="none"/>
              </w:rPr>
              <w:t>的单位净值。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单位净值</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单位净值=理财计划估值日理财计划总净值/理财计划总份额，单位净值</w:t>
            </w:r>
            <w:r>
              <w:rPr>
                <w:rFonts w:hint="eastAsia" w:ascii="宋体" w:hAnsi="宋体" w:cs="宋体"/>
                <w:sz w:val="21"/>
                <w:szCs w:val="21"/>
                <w:highlight w:val="none"/>
              </w:rPr>
              <w:t>〖</w:t>
            </w:r>
            <w:r>
              <w:rPr>
                <w:rFonts w:hint="eastAsia" w:ascii="宋体" w:hAnsi="宋体" w:cs="宋体"/>
                <w:color w:val="000000"/>
                <w:sz w:val="21"/>
                <w:szCs w:val="21"/>
                <w:highlight w:val="none"/>
              </w:rPr>
              <w:t>保留小数点后</w:t>
            </w:r>
            <w:r>
              <w:rPr>
                <w:rFonts w:hint="eastAsia" w:ascii="宋体" w:hAnsi="宋体" w:cs="宋体"/>
                <w:color w:val="000000"/>
                <w:sz w:val="21"/>
                <w:szCs w:val="21"/>
                <w:highlight w:val="none"/>
                <w:lang w:val="en-US" w:eastAsia="zh-CN"/>
              </w:rPr>
              <w:t>四</w:t>
            </w:r>
            <w:r>
              <w:rPr>
                <w:rFonts w:hint="eastAsia" w:ascii="宋体" w:hAnsi="宋体" w:cs="宋体"/>
                <w:color w:val="000000"/>
                <w:sz w:val="21"/>
                <w:szCs w:val="21"/>
                <w:highlight w:val="none"/>
              </w:rPr>
              <w:t>位</w:t>
            </w:r>
            <w:r>
              <w:rPr>
                <w:rFonts w:hint="eastAsia" w:ascii="宋体" w:hAnsi="宋体" w:cs="宋体"/>
                <w:sz w:val="21"/>
                <w:szCs w:val="21"/>
                <w:highlight w:val="none"/>
              </w:rPr>
              <w:t>〗</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四位后去尾</w:t>
            </w:r>
            <w:r>
              <w:rPr>
                <w:rFonts w:hint="eastAsia" w:ascii="宋体" w:hAnsi="宋体" w:cs="宋体"/>
                <w:color w:val="000000"/>
                <w:sz w:val="21"/>
                <w:szCs w:val="21"/>
                <w:highlight w:val="none"/>
              </w:rPr>
              <w:t>。</w:t>
            </w:r>
          </w:p>
          <w:p>
            <w:pPr>
              <w:widowControl/>
              <w:spacing w:line="360" w:lineRule="auto"/>
              <w:contextualSpacing/>
              <w:rPr>
                <w:rFonts w:hint="eastAsia" w:ascii="宋体" w:hAnsi="宋体" w:cs="宋体"/>
                <w:b/>
                <w:color w:val="000000"/>
                <w:sz w:val="21"/>
                <w:szCs w:val="21"/>
                <w:highlight w:val="none"/>
              </w:rPr>
            </w:pPr>
            <w:r>
              <w:rPr>
                <w:rFonts w:hint="eastAsia" w:ascii="宋体" w:hAnsi="宋体" w:cs="宋体"/>
                <w:color w:val="000000"/>
                <w:sz w:val="21"/>
                <w:szCs w:val="21"/>
                <w:highlight w:val="none"/>
              </w:rPr>
              <w:t>理财计划总净值=理财计划认购总额+理财计划所获总收益-理财计划总费用（包括但不限于</w:t>
            </w:r>
            <w:r>
              <w:rPr>
                <w:rFonts w:hint="eastAsia" w:ascii="宋体" w:hAnsi="宋体" w:cs="宋体"/>
                <w:color w:val="000000"/>
                <w:sz w:val="21"/>
                <w:szCs w:val="21"/>
                <w:highlight w:val="none"/>
                <w:lang w:val="en-US" w:eastAsia="zh-CN"/>
              </w:rPr>
              <w:t>固定</w:t>
            </w:r>
            <w:r>
              <w:rPr>
                <w:rFonts w:hint="eastAsia" w:ascii="宋体" w:hAnsi="宋体" w:cs="宋体"/>
                <w:color w:val="000000"/>
                <w:sz w:val="21"/>
                <w:szCs w:val="21"/>
                <w:highlight w:val="none"/>
              </w:rPr>
              <w:t>管理费、托管费、</w:t>
            </w:r>
            <w:r>
              <w:rPr>
                <w:rFonts w:hint="eastAsia" w:ascii="宋体" w:hAnsi="宋体" w:cs="宋体"/>
                <w:color w:val="000000"/>
                <w:sz w:val="21"/>
                <w:szCs w:val="21"/>
                <w:highlight w:val="none"/>
                <w:lang w:eastAsia="zh-CN"/>
              </w:rPr>
              <w:t>销售服务费、</w:t>
            </w:r>
            <w:r>
              <w:rPr>
                <w:rFonts w:hint="eastAsia" w:ascii="宋体" w:hAnsi="宋体" w:cs="宋体"/>
                <w:color w:val="000000"/>
                <w:sz w:val="21"/>
                <w:szCs w:val="21"/>
                <w:highlight w:val="none"/>
                <w:lang w:val="en-US" w:eastAsia="zh-CN"/>
              </w:rPr>
              <w:t>浮动管理费（如有）</w:t>
            </w:r>
            <w:r>
              <w:rPr>
                <w:rFonts w:hint="eastAsia" w:ascii="宋体" w:hAnsi="宋体" w:cs="宋体"/>
                <w:color w:val="000000"/>
                <w:sz w:val="21"/>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资金与收益支付方式</w:t>
            </w:r>
          </w:p>
        </w:tc>
        <w:tc>
          <w:tcPr>
            <w:tcW w:w="7185" w:type="dxa"/>
            <w:noWrap w:val="0"/>
            <w:vAlign w:val="center"/>
          </w:tcPr>
          <w:p>
            <w:pPr>
              <w:widowControl/>
              <w:spacing w:line="360" w:lineRule="auto"/>
              <w:contextualSpacing/>
              <w:rPr>
                <w:rFonts w:ascii="宋体" w:hAnsi="宋体" w:cs="宋体"/>
                <w:color w:val="000000"/>
                <w:sz w:val="21"/>
                <w:szCs w:val="21"/>
                <w:highlight w:val="none"/>
              </w:rPr>
            </w:pPr>
            <w:r>
              <w:rPr>
                <w:rFonts w:hint="eastAsia" w:ascii="宋体" w:hAnsi="宋体" w:cs="宋体"/>
                <w:color w:val="000000"/>
                <w:sz w:val="21"/>
                <w:szCs w:val="21"/>
                <w:highlight w:val="none"/>
              </w:rPr>
              <w:t>1.赎回资金确认后，最快</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color w:val="000000"/>
                <w:sz w:val="21"/>
                <w:szCs w:val="21"/>
                <w:highlight w:val="none"/>
              </w:rPr>
              <w:t>个工作日，最晚</w:t>
            </w:r>
            <w:r>
              <w:rPr>
                <w:rFonts w:hint="eastAsia" w:ascii="宋体" w:hAnsi="宋体" w:cs="宋体"/>
                <w:sz w:val="21"/>
                <w:szCs w:val="21"/>
                <w:highlight w:val="none"/>
              </w:rPr>
              <w:t>〖</w:t>
            </w:r>
            <w:r>
              <w:rPr>
                <w:rFonts w:hint="eastAsia" w:ascii="宋体" w:hAnsi="宋体" w:cs="宋体"/>
                <w:sz w:val="21"/>
                <w:szCs w:val="21"/>
                <w:highlight w:val="none"/>
                <w:lang w:val="en-US" w:eastAsia="zh-CN"/>
              </w:rPr>
              <w:t>3</w:t>
            </w:r>
            <w:r>
              <w:rPr>
                <w:rFonts w:hint="eastAsia" w:ascii="宋体" w:hAnsi="宋体" w:cs="宋体"/>
                <w:sz w:val="21"/>
                <w:szCs w:val="21"/>
                <w:highlight w:val="none"/>
              </w:rPr>
              <w:t>〗</w:t>
            </w:r>
            <w:r>
              <w:rPr>
                <w:rFonts w:hint="eastAsia" w:ascii="宋体" w:hAnsi="宋体" w:cs="宋体"/>
                <w:color w:val="000000"/>
                <w:sz w:val="21"/>
                <w:szCs w:val="21"/>
                <w:highlight w:val="none"/>
              </w:rPr>
              <w:t>个工作日内（遇节假日顺延）理财资金与收益一次性支付。如遇资金在途或法定工作日调整，实际资金到账日以公告为准。</w:t>
            </w:r>
            <w:r>
              <w:rPr>
                <w:rFonts w:hint="eastAsia" w:ascii="宋体" w:hAnsi="宋体" w:cs="宋体"/>
                <w:color w:val="000000"/>
                <w:kern w:val="0"/>
                <w:sz w:val="21"/>
                <w:szCs w:val="21"/>
                <w:highlight w:val="none"/>
              </w:rPr>
              <w:t>（具体以销售机构规定为准）</w:t>
            </w:r>
          </w:p>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2.理财计划到期后，最快</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color w:val="000000"/>
                <w:sz w:val="21"/>
                <w:szCs w:val="21"/>
                <w:highlight w:val="none"/>
              </w:rPr>
              <w:t>个工作日，最晚</w:t>
            </w:r>
            <w:r>
              <w:rPr>
                <w:rFonts w:hint="eastAsia" w:ascii="宋体" w:hAnsi="宋体" w:cs="宋体"/>
                <w:sz w:val="21"/>
                <w:szCs w:val="21"/>
                <w:highlight w:val="none"/>
              </w:rPr>
              <w:t>〖</w:t>
            </w:r>
            <w:r>
              <w:rPr>
                <w:rFonts w:hint="eastAsia" w:ascii="宋体" w:hAnsi="宋体" w:cs="宋体"/>
                <w:sz w:val="21"/>
                <w:szCs w:val="21"/>
                <w:highlight w:val="none"/>
                <w:lang w:val="en-US" w:eastAsia="zh-CN"/>
              </w:rPr>
              <w:t>3</w:t>
            </w:r>
            <w:r>
              <w:rPr>
                <w:rFonts w:hint="eastAsia" w:ascii="宋体" w:hAnsi="宋体" w:cs="宋体"/>
                <w:sz w:val="21"/>
                <w:szCs w:val="21"/>
                <w:highlight w:val="none"/>
              </w:rPr>
              <w:t>〗</w:t>
            </w:r>
            <w:r>
              <w:rPr>
                <w:rFonts w:hint="eastAsia" w:ascii="宋体" w:hAnsi="宋体" w:cs="宋体"/>
                <w:color w:val="000000"/>
                <w:sz w:val="21"/>
                <w:szCs w:val="21"/>
                <w:highlight w:val="none"/>
              </w:rPr>
              <w:t>个工作日内（遇节假日顺延）理财资金与收益一次性支付。如遇资金在途或法定工作日调整，实际资金到账日以公告为准。</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收益分配</w:t>
            </w:r>
          </w:p>
        </w:tc>
        <w:tc>
          <w:tcPr>
            <w:tcW w:w="7185" w:type="dxa"/>
            <w:noWrap w:val="0"/>
            <w:vAlign w:val="center"/>
          </w:tcPr>
          <w:p>
            <w:pPr>
              <w:widowControl/>
              <w:spacing w:line="360" w:lineRule="auto"/>
              <w:contextualSpacing/>
              <w:rPr>
                <w:rFonts w:ascii="宋体" w:hAnsi="宋体" w:cs="宋体"/>
                <w:b/>
                <w:sz w:val="21"/>
                <w:szCs w:val="21"/>
                <w:highlight w:val="none"/>
              </w:rPr>
            </w:pPr>
            <w:r>
              <w:rPr>
                <w:rFonts w:hint="eastAsia" w:ascii="宋体" w:hAnsi="宋体" w:cs="宋体"/>
                <w:color w:val="000000"/>
                <w:sz w:val="21"/>
                <w:szCs w:val="21"/>
                <w:highlight w:val="none"/>
              </w:rPr>
              <w:t>在满足收益分配基准日理财计划份额净值大于1元的情况下，管理人</w:t>
            </w:r>
            <w:r>
              <w:rPr>
                <w:rFonts w:hint="eastAsia" w:ascii="宋体" w:hAnsi="宋体" w:cs="宋体"/>
                <w:sz w:val="21"/>
                <w:szCs w:val="21"/>
                <w:highlight w:val="none"/>
              </w:rPr>
              <w:t>〖</w:t>
            </w:r>
            <w:r>
              <w:rPr>
                <w:rFonts w:hint="eastAsia" w:ascii="宋体" w:hAnsi="宋体" w:cs="宋体"/>
                <w:sz w:val="21"/>
                <w:szCs w:val="21"/>
                <w:highlight w:val="none"/>
                <w:lang w:val="en-US" w:eastAsia="zh-CN"/>
              </w:rPr>
              <w:t>不</w:t>
            </w:r>
            <w:r>
              <w:rPr>
                <w:rFonts w:hint="eastAsia" w:ascii="宋体" w:hAnsi="宋体" w:cs="宋体"/>
                <w:color w:val="000000"/>
                <w:sz w:val="21"/>
                <w:szCs w:val="21"/>
                <w:highlight w:val="none"/>
              </w:rPr>
              <w:t>定期</w:t>
            </w:r>
            <w:r>
              <w:rPr>
                <w:rFonts w:hint="eastAsia" w:ascii="宋体" w:hAnsi="宋体" w:cs="宋体"/>
                <w:sz w:val="21"/>
                <w:szCs w:val="21"/>
                <w:highlight w:val="none"/>
              </w:rPr>
              <w:t>〗</w:t>
            </w:r>
            <w:r>
              <w:rPr>
                <w:rFonts w:hint="eastAsia" w:ascii="宋体" w:hAnsi="宋体" w:cs="宋体"/>
                <w:color w:val="000000"/>
                <w:sz w:val="21"/>
                <w:szCs w:val="21"/>
                <w:highlight w:val="none"/>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业绩比较基准</w:t>
            </w:r>
          </w:p>
        </w:tc>
        <w:tc>
          <w:tcPr>
            <w:tcW w:w="7185" w:type="dxa"/>
            <w:noWrap w:val="0"/>
            <w:vAlign w:val="center"/>
          </w:tcPr>
          <w:p>
            <w:pPr>
              <w:widowControl/>
              <w:spacing w:line="360" w:lineRule="auto"/>
              <w:contextualSpacing/>
              <w:rPr>
                <w:rFonts w:hint="eastAsia" w:ascii="宋体" w:hAnsi="宋体" w:cs="宋体"/>
                <w:sz w:val="21"/>
                <w:szCs w:val="21"/>
                <w:highlight w:val="none"/>
              </w:rPr>
            </w:pPr>
            <w:r>
              <w:rPr>
                <w:rFonts w:hint="eastAsia" w:ascii="宋体" w:hAnsi="宋体" w:cs="宋体"/>
                <w:sz w:val="21"/>
                <w:szCs w:val="21"/>
                <w:highlight w:val="none"/>
              </w:rPr>
              <w:t>本理财计划〖</w:t>
            </w:r>
            <w:r>
              <w:rPr>
                <w:rFonts w:hint="eastAsia" w:ascii="宋体" w:hAnsi="宋体" w:cs="宋体"/>
                <w:sz w:val="21"/>
                <w:szCs w:val="21"/>
                <w:highlight w:val="none"/>
                <w:lang w:val="en-US" w:eastAsia="zh-CN"/>
              </w:rPr>
              <w:t>A份额</w:t>
            </w:r>
            <w:r>
              <w:rPr>
                <w:rFonts w:hint="eastAsia" w:ascii="宋体" w:hAnsi="宋体" w:cs="宋体"/>
                <w:sz w:val="21"/>
                <w:szCs w:val="21"/>
                <w:highlight w:val="none"/>
              </w:rPr>
              <w:t>〗业绩比较基准为〖</w:t>
            </w:r>
            <w:r>
              <w:rPr>
                <w:rFonts w:hint="eastAsia" w:ascii="宋体" w:hAnsi="宋体" w:cs="宋体"/>
                <w:sz w:val="21"/>
                <w:szCs w:val="21"/>
                <w:highlight w:val="none"/>
                <w:lang w:val="en-US" w:eastAsia="zh-CN"/>
              </w:rPr>
              <w:t>2.00%-3.00%</w:t>
            </w:r>
            <w:r>
              <w:rPr>
                <w:rFonts w:hint="eastAsia" w:ascii="宋体" w:hAnsi="宋体" w:cs="宋体"/>
                <w:sz w:val="21"/>
                <w:szCs w:val="21"/>
                <w:highlight w:val="none"/>
              </w:rPr>
              <w:t>〗（年化）。</w:t>
            </w:r>
          </w:p>
          <w:p>
            <w:pPr>
              <w:widowControl/>
              <w:spacing w:line="360" w:lineRule="auto"/>
              <w:contextualSpacing/>
              <w:rPr>
                <w:rFonts w:hint="eastAsia" w:ascii="宋体" w:hAnsi="宋体" w:cs="宋体"/>
                <w:sz w:val="21"/>
                <w:szCs w:val="21"/>
                <w:highlight w:val="none"/>
                <w:lang w:eastAsia="zh-CN"/>
              </w:rPr>
            </w:pPr>
            <w:r>
              <w:rPr>
                <w:rFonts w:hint="eastAsia" w:ascii="宋体" w:hAnsi="宋体" w:cs="宋体"/>
                <w:sz w:val="21"/>
                <w:szCs w:val="21"/>
                <w:highlight w:val="none"/>
              </w:rPr>
              <w:t>本理财计划〖</w:t>
            </w:r>
            <w:r>
              <w:rPr>
                <w:rFonts w:hint="eastAsia" w:ascii="宋体" w:hAnsi="宋体" w:cs="宋体"/>
                <w:sz w:val="21"/>
                <w:szCs w:val="21"/>
                <w:highlight w:val="none"/>
                <w:lang w:val="en-US" w:eastAsia="zh-CN"/>
              </w:rPr>
              <w:t>B份额</w:t>
            </w:r>
            <w:r>
              <w:rPr>
                <w:rFonts w:hint="eastAsia" w:ascii="宋体" w:hAnsi="宋体" w:cs="宋体"/>
                <w:sz w:val="21"/>
                <w:szCs w:val="21"/>
                <w:highlight w:val="none"/>
              </w:rPr>
              <w:t>〗业绩比较基准为〖</w:t>
            </w:r>
            <w:r>
              <w:rPr>
                <w:rFonts w:hint="eastAsia" w:ascii="宋体" w:hAnsi="宋体" w:cs="宋体"/>
                <w:sz w:val="21"/>
                <w:szCs w:val="21"/>
                <w:highlight w:val="none"/>
                <w:lang w:val="en-US" w:eastAsia="zh-CN"/>
              </w:rPr>
              <w:t>2.10%-3.10%</w:t>
            </w:r>
            <w:r>
              <w:rPr>
                <w:rFonts w:hint="eastAsia" w:ascii="宋体" w:hAnsi="宋体" w:cs="宋体"/>
                <w:sz w:val="21"/>
                <w:szCs w:val="21"/>
                <w:highlight w:val="none"/>
              </w:rPr>
              <w:t>〗（年化）</w:t>
            </w:r>
            <w:r>
              <w:rPr>
                <w:rFonts w:hint="eastAsia" w:ascii="宋体" w:hAnsi="宋体" w:cs="宋体"/>
                <w:sz w:val="21"/>
                <w:szCs w:val="21"/>
                <w:highlight w:val="none"/>
                <w:lang w:eastAsia="zh-CN"/>
              </w:rPr>
              <w:t>。</w:t>
            </w:r>
          </w:p>
          <w:p>
            <w:pPr>
              <w:widowControl/>
              <w:spacing w:line="360" w:lineRule="auto"/>
              <w:contextualSpacing/>
              <w:rPr>
                <w:rFonts w:hint="eastAsia" w:ascii="宋体" w:hAnsi="宋体" w:cs="宋体"/>
                <w:sz w:val="21"/>
                <w:szCs w:val="21"/>
                <w:highlight w:val="none"/>
                <w:lang w:eastAsia="zh-CN"/>
              </w:rPr>
            </w:pPr>
            <w:r>
              <w:rPr>
                <w:rFonts w:hint="eastAsia" w:ascii="宋体" w:hAnsi="宋体" w:cs="宋体"/>
                <w:sz w:val="21"/>
                <w:szCs w:val="21"/>
                <w:highlight w:val="none"/>
              </w:rPr>
              <w:t>本理财计划〖</w:t>
            </w:r>
            <w:r>
              <w:rPr>
                <w:rFonts w:hint="eastAsia" w:ascii="宋体" w:hAnsi="宋体" w:cs="宋体"/>
                <w:sz w:val="21"/>
                <w:szCs w:val="21"/>
                <w:highlight w:val="none"/>
                <w:lang w:val="en-US" w:eastAsia="zh-CN"/>
              </w:rPr>
              <w:t>W份额</w:t>
            </w:r>
            <w:r>
              <w:rPr>
                <w:rFonts w:hint="eastAsia" w:ascii="宋体" w:hAnsi="宋体" w:cs="宋体"/>
                <w:sz w:val="21"/>
                <w:szCs w:val="21"/>
                <w:highlight w:val="none"/>
              </w:rPr>
              <w:t>〗业绩比较基准为〖</w:t>
            </w:r>
            <w:r>
              <w:rPr>
                <w:rFonts w:hint="eastAsia" w:ascii="宋体" w:hAnsi="宋体" w:cs="宋体"/>
                <w:sz w:val="21"/>
                <w:szCs w:val="21"/>
                <w:highlight w:val="none"/>
                <w:lang w:val="en-US" w:eastAsia="zh-CN"/>
              </w:rPr>
              <w:t>2.00%-3.00%</w:t>
            </w:r>
            <w:r>
              <w:rPr>
                <w:rFonts w:hint="eastAsia" w:ascii="宋体" w:hAnsi="宋体" w:cs="宋体"/>
                <w:sz w:val="21"/>
                <w:szCs w:val="21"/>
                <w:highlight w:val="none"/>
              </w:rPr>
              <w:t>〗（年化）。</w:t>
            </w:r>
          </w:p>
          <w:p>
            <w:pPr>
              <w:widowControl/>
              <w:spacing w:line="360" w:lineRule="auto"/>
              <w:jc w:val="left"/>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rPr>
              <w:t>业绩基准测算依据：</w:t>
            </w:r>
            <w:r>
              <w:rPr>
                <w:rFonts w:hint="eastAsia" w:ascii="宋体" w:hAnsi="宋体" w:cs="宋体"/>
                <w:b/>
                <w:bCs/>
                <w:sz w:val="21"/>
                <w:szCs w:val="21"/>
                <w:highlight w:val="none"/>
                <w:lang w:val="en-US" w:eastAsia="zh-CN"/>
              </w:rPr>
              <w:t>本理财计划主要投资于固定收益类资产，权益类等其他资产配置比例不超过20%。本理财计划将通过积极的主动管理，根据大类资产研究、固定收益市场及权益市场等的历史波动情况确定合理的投资比例，争取为投资人提供合理的投资回报。管理人根据固定收益市场及权益市场等的历史表现，结合当前利率水平、资产配比及市场同类型产品情况，经综合测算得出本期业绩比较基准。</w:t>
            </w:r>
          </w:p>
          <w:p>
            <w:pPr>
              <w:widowControl/>
              <w:spacing w:line="360" w:lineRule="auto"/>
              <w:jc w:val="left"/>
              <w:rPr>
                <w:rFonts w:hint="eastAsia" w:ascii="宋体" w:hAnsi="宋体" w:cs="宋体"/>
                <w:b/>
                <w:bCs/>
                <w:sz w:val="21"/>
                <w:szCs w:val="21"/>
                <w:highlight w:val="none"/>
              </w:rPr>
            </w:pPr>
            <w:r>
              <w:rPr>
                <w:rFonts w:hint="eastAsia" w:ascii="宋体" w:hAnsi="宋体" w:cs="宋体"/>
                <w:sz w:val="21"/>
                <w:szCs w:val="21"/>
                <w:highlight w:val="none"/>
              </w:rPr>
              <w:t>管理人有权根据市场情况及</w:t>
            </w:r>
            <w:r>
              <w:rPr>
                <w:rFonts w:hint="eastAsia" w:ascii="宋体" w:hAnsi="宋体" w:cs="宋体"/>
                <w:sz w:val="21"/>
                <w:szCs w:val="21"/>
                <w:highlight w:val="none"/>
                <w:lang w:eastAsia="zh-CN"/>
              </w:rPr>
              <w:t>理财计划</w:t>
            </w:r>
            <w:r>
              <w:rPr>
                <w:rFonts w:hint="eastAsia" w:ascii="宋体" w:hAnsi="宋体" w:cs="宋体"/>
                <w:sz w:val="21"/>
                <w:szCs w:val="21"/>
                <w:highlight w:val="none"/>
              </w:rPr>
              <w:t>运作情况调整业绩基准，并至少于新业绩基准启用前</w:t>
            </w:r>
            <w:r>
              <w:rPr>
                <w:rFonts w:hint="eastAsia" w:ascii="宋体" w:hAnsi="宋体" w:cs="宋体"/>
                <w:kern w:val="0"/>
                <w:sz w:val="21"/>
                <w:szCs w:val="21"/>
                <w:highlight w:val="none"/>
              </w:rPr>
              <w:t>〖</w:t>
            </w:r>
            <w:r>
              <w:rPr>
                <w:rFonts w:hint="eastAsia" w:ascii="宋体" w:hAnsi="宋体" w:cs="宋体"/>
                <w:kern w:val="0"/>
                <w:sz w:val="21"/>
                <w:szCs w:val="21"/>
                <w:highlight w:val="none"/>
                <w:lang w:val="en-US" w:eastAsia="zh-CN"/>
              </w:rPr>
              <w:t>3</w:t>
            </w:r>
            <w:r>
              <w:rPr>
                <w:rFonts w:hint="eastAsia" w:ascii="宋体" w:hAnsi="宋体" w:cs="宋体"/>
                <w:kern w:val="0"/>
                <w:sz w:val="21"/>
                <w:szCs w:val="21"/>
                <w:highlight w:val="none"/>
              </w:rPr>
              <w:t>〗</w:t>
            </w:r>
            <w:r>
              <w:rPr>
                <w:rFonts w:hint="eastAsia" w:ascii="宋体" w:hAnsi="宋体" w:cs="宋体"/>
                <w:sz w:val="21"/>
                <w:szCs w:val="21"/>
                <w:highlight w:val="none"/>
              </w:rPr>
              <w:t>个工作日公告。</w:t>
            </w:r>
          </w:p>
          <w:p>
            <w:pPr>
              <w:widowControl/>
              <w:spacing w:line="360" w:lineRule="auto"/>
              <w:contextualSpacing/>
              <w:rPr>
                <w:rFonts w:hint="eastAsia" w:ascii="宋体" w:hAnsi="宋体" w:cs="宋体"/>
                <w:color w:val="000000"/>
                <w:sz w:val="21"/>
                <w:szCs w:val="21"/>
                <w:highlight w:val="none"/>
              </w:rPr>
            </w:pPr>
            <w:r>
              <w:rPr>
                <w:rFonts w:hint="eastAsia" w:ascii="宋体" w:hAnsi="宋体" w:cs="宋体"/>
                <w:b/>
                <w:sz w:val="21"/>
                <w:szCs w:val="21"/>
                <w:highlight w:val="none"/>
              </w:rPr>
              <w:t>本理财计划为净值型理财产品，其业绩表现将随市场波动具有不确定性。本理财计划业绩比较基准由管理人根据投资范围及投资策略，结合市场环境因素进行测算而得出。业绩比较基准是管理人基于理财计划收益风险特征、投资策略、过往经验等因素对理财计划业绩设定的投资目标。本公司提醒投资者关注，业绩比较基准不是预期收益率</w:t>
            </w:r>
            <w:r>
              <w:rPr>
                <w:rFonts w:hint="eastAsia" w:ascii="宋体" w:hAnsi="宋体" w:cs="宋体"/>
                <w:b/>
                <w:sz w:val="21"/>
                <w:szCs w:val="21"/>
                <w:highlight w:val="none"/>
                <w:lang w:eastAsia="zh-CN"/>
              </w:rPr>
              <w:t>，</w:t>
            </w:r>
            <w:r>
              <w:rPr>
                <w:rFonts w:hint="eastAsia" w:ascii="宋体" w:hAnsi="宋体" w:cs="宋体"/>
                <w:b/>
                <w:sz w:val="21"/>
                <w:szCs w:val="21"/>
                <w:highlight w:val="none"/>
              </w:rPr>
              <w:t>业绩比较基准并不代表</w:t>
            </w:r>
            <w:r>
              <w:rPr>
                <w:rFonts w:hint="eastAsia" w:ascii="宋体" w:hAnsi="宋体" w:cs="宋体"/>
                <w:b/>
                <w:sz w:val="21"/>
                <w:szCs w:val="21"/>
                <w:highlight w:val="none"/>
                <w:lang w:eastAsia="zh-CN"/>
              </w:rPr>
              <w:t>理财计划的未来表现和</w:t>
            </w:r>
            <w:r>
              <w:rPr>
                <w:rFonts w:hint="eastAsia" w:ascii="宋体" w:hAnsi="宋体" w:cs="宋体"/>
                <w:b/>
                <w:sz w:val="21"/>
                <w:szCs w:val="21"/>
                <w:highlight w:val="none"/>
              </w:rPr>
              <w:t>实际收益率</w:t>
            </w:r>
            <w:r>
              <w:rPr>
                <w:rFonts w:hint="eastAsia" w:ascii="宋体" w:hAnsi="宋体" w:cs="宋体"/>
                <w:b/>
                <w:sz w:val="21"/>
                <w:szCs w:val="21"/>
                <w:highlight w:val="none"/>
                <w:lang w:eastAsia="zh-CN"/>
              </w:rPr>
              <w:t>，不构成对理财计划收益的承诺</w:t>
            </w:r>
            <w:r>
              <w:rPr>
                <w:rFonts w:hint="eastAsia" w:ascii="宋体" w:hAnsi="宋体" w:cs="宋体"/>
                <w:b/>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产品费用</w:t>
            </w:r>
          </w:p>
        </w:tc>
        <w:tc>
          <w:tcPr>
            <w:tcW w:w="7185" w:type="dxa"/>
            <w:noWrap w:val="0"/>
            <w:vAlign w:val="center"/>
          </w:tcPr>
          <w:p>
            <w:pPr>
              <w:widowControl/>
              <w:numPr>
                <w:ilvl w:val="0"/>
                <w:numId w:val="0"/>
              </w:numPr>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lang w:eastAsia="zh-CN"/>
              </w:rPr>
              <w:t>销售服务费</w:t>
            </w:r>
            <w:r>
              <w:rPr>
                <w:rFonts w:hint="eastAsia" w:ascii="宋体" w:hAnsi="宋体" w:cs="宋体"/>
                <w:color w:val="000000"/>
                <w:sz w:val="21"/>
                <w:szCs w:val="21"/>
                <w:highlight w:val="none"/>
              </w:rPr>
              <w:t>：</w:t>
            </w:r>
            <w:r>
              <w:rPr>
                <w:rFonts w:hint="eastAsia" w:ascii="宋体" w:hAnsi="宋体" w:cs="宋体"/>
                <w:sz w:val="21"/>
                <w:szCs w:val="21"/>
                <w:highlight w:val="none"/>
              </w:rPr>
              <w:t>〖</w:t>
            </w:r>
            <w:r>
              <w:rPr>
                <w:rFonts w:hint="eastAsia" w:ascii="宋体" w:hAnsi="宋体" w:cs="宋体"/>
                <w:sz w:val="21"/>
                <w:szCs w:val="21"/>
                <w:highlight w:val="none"/>
                <w:lang w:val="en-US" w:eastAsia="zh-CN"/>
              </w:rPr>
              <w:t>A</w:t>
            </w:r>
            <w:r>
              <w:rPr>
                <w:rFonts w:hint="eastAsia" w:ascii="宋体" w:hAnsi="宋体" w:cs="宋体"/>
                <w:bCs/>
                <w:color w:val="auto"/>
                <w:sz w:val="21"/>
                <w:szCs w:val="21"/>
                <w:highlight w:val="none"/>
                <w:lang w:val="en-US" w:eastAsia="zh-CN"/>
              </w:rPr>
              <w:t>份额</w:t>
            </w:r>
            <w:r>
              <w:rPr>
                <w:rFonts w:hint="eastAsia" w:ascii="宋体" w:hAnsi="宋体" w:cs="宋体"/>
                <w:sz w:val="21"/>
                <w:szCs w:val="21"/>
                <w:highlight w:val="none"/>
              </w:rPr>
              <w:t>〗</w:t>
            </w:r>
            <w:r>
              <w:rPr>
                <w:rFonts w:hint="eastAsia" w:ascii="宋体" w:hAnsi="宋体" w:cs="宋体"/>
                <w:color w:val="000000"/>
                <w:sz w:val="21"/>
                <w:szCs w:val="21"/>
                <w:highlight w:val="none"/>
              </w:rPr>
              <w:t>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0.30</w:t>
            </w:r>
            <w:r>
              <w:rPr>
                <w:rFonts w:hint="eastAsia" w:ascii="宋体" w:hAnsi="宋体" w:cs="宋体"/>
                <w:sz w:val="21"/>
                <w:szCs w:val="21"/>
                <w:highlight w:val="none"/>
              </w:rPr>
              <w:t>%〗</w:t>
            </w:r>
            <w:r>
              <w:rPr>
                <w:rFonts w:hint="eastAsia" w:ascii="宋体" w:hAnsi="宋体" w:cs="宋体"/>
                <w:color w:val="000000"/>
                <w:sz w:val="21"/>
                <w:szCs w:val="21"/>
                <w:highlight w:val="none"/>
              </w:rPr>
              <w:t>的</w:t>
            </w:r>
            <w:r>
              <w:rPr>
                <w:rFonts w:hint="eastAsia" w:ascii="宋体" w:hAnsi="宋体" w:cs="宋体"/>
                <w:color w:val="000000"/>
                <w:sz w:val="21"/>
                <w:szCs w:val="21"/>
                <w:highlight w:val="none"/>
                <w:lang w:eastAsia="zh-CN"/>
              </w:rPr>
              <w:t>销售服务费；</w:t>
            </w:r>
            <w:r>
              <w:rPr>
                <w:rFonts w:hint="eastAsia" w:ascii="宋体" w:hAnsi="宋体" w:cs="宋体"/>
                <w:sz w:val="21"/>
                <w:szCs w:val="21"/>
                <w:highlight w:val="none"/>
              </w:rPr>
              <w:t>〖</w:t>
            </w:r>
            <w:r>
              <w:rPr>
                <w:rFonts w:hint="eastAsia" w:ascii="宋体" w:hAnsi="宋体" w:cs="宋体"/>
                <w:sz w:val="21"/>
                <w:szCs w:val="21"/>
                <w:highlight w:val="none"/>
                <w:lang w:val="en-US" w:eastAsia="zh-CN"/>
              </w:rPr>
              <w:t>B</w:t>
            </w:r>
            <w:r>
              <w:rPr>
                <w:rFonts w:hint="eastAsia" w:ascii="宋体" w:hAnsi="宋体" w:cs="宋体"/>
                <w:bCs/>
                <w:color w:val="auto"/>
                <w:sz w:val="21"/>
                <w:szCs w:val="21"/>
                <w:highlight w:val="none"/>
                <w:lang w:val="en-US" w:eastAsia="zh-CN"/>
              </w:rPr>
              <w:t>份额</w:t>
            </w:r>
            <w:r>
              <w:rPr>
                <w:rFonts w:hint="eastAsia" w:ascii="宋体" w:hAnsi="宋体" w:cs="宋体"/>
                <w:sz w:val="21"/>
                <w:szCs w:val="21"/>
                <w:highlight w:val="none"/>
              </w:rPr>
              <w:t>〗</w:t>
            </w:r>
            <w:r>
              <w:rPr>
                <w:rFonts w:hint="eastAsia" w:ascii="宋体" w:hAnsi="宋体" w:cs="宋体"/>
                <w:color w:val="000000"/>
                <w:sz w:val="21"/>
                <w:szCs w:val="21"/>
                <w:highlight w:val="none"/>
              </w:rPr>
              <w:t>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0.20</w:t>
            </w:r>
            <w:r>
              <w:rPr>
                <w:rFonts w:hint="eastAsia" w:ascii="宋体" w:hAnsi="宋体" w:cs="宋体"/>
                <w:sz w:val="21"/>
                <w:szCs w:val="21"/>
                <w:highlight w:val="none"/>
              </w:rPr>
              <w:t>%〗</w:t>
            </w:r>
            <w:r>
              <w:rPr>
                <w:rFonts w:hint="eastAsia" w:ascii="宋体" w:hAnsi="宋体" w:cs="宋体"/>
                <w:color w:val="000000"/>
                <w:sz w:val="21"/>
                <w:szCs w:val="21"/>
                <w:highlight w:val="none"/>
              </w:rPr>
              <w:t>的</w:t>
            </w:r>
            <w:r>
              <w:rPr>
                <w:rFonts w:hint="eastAsia" w:ascii="宋体" w:hAnsi="宋体" w:cs="宋体"/>
                <w:color w:val="000000"/>
                <w:sz w:val="21"/>
                <w:szCs w:val="21"/>
                <w:highlight w:val="none"/>
                <w:lang w:eastAsia="zh-CN"/>
              </w:rPr>
              <w:t>销售服务费；</w:t>
            </w:r>
            <w:r>
              <w:rPr>
                <w:rFonts w:hint="eastAsia" w:ascii="宋体" w:hAnsi="宋体" w:cs="宋体"/>
                <w:sz w:val="21"/>
                <w:szCs w:val="21"/>
                <w:highlight w:val="none"/>
              </w:rPr>
              <w:t>〖</w:t>
            </w:r>
            <w:r>
              <w:rPr>
                <w:rFonts w:hint="eastAsia" w:ascii="宋体" w:hAnsi="宋体" w:cs="宋体"/>
                <w:sz w:val="21"/>
                <w:szCs w:val="21"/>
                <w:highlight w:val="none"/>
                <w:lang w:val="en-US" w:eastAsia="zh-CN"/>
              </w:rPr>
              <w:t>W</w:t>
            </w:r>
            <w:r>
              <w:rPr>
                <w:rFonts w:hint="eastAsia" w:ascii="宋体" w:hAnsi="宋体" w:cs="宋体"/>
                <w:bCs/>
                <w:color w:val="auto"/>
                <w:sz w:val="21"/>
                <w:szCs w:val="21"/>
                <w:highlight w:val="none"/>
                <w:lang w:val="en-US" w:eastAsia="zh-CN"/>
              </w:rPr>
              <w:t>份额</w:t>
            </w:r>
            <w:r>
              <w:rPr>
                <w:rFonts w:hint="eastAsia" w:ascii="宋体" w:hAnsi="宋体" w:cs="宋体"/>
                <w:sz w:val="21"/>
                <w:szCs w:val="21"/>
                <w:highlight w:val="none"/>
              </w:rPr>
              <w:t>〗</w:t>
            </w:r>
            <w:r>
              <w:rPr>
                <w:rFonts w:hint="eastAsia" w:ascii="宋体" w:hAnsi="宋体" w:cs="宋体"/>
                <w:color w:val="000000"/>
                <w:sz w:val="21"/>
                <w:szCs w:val="21"/>
                <w:highlight w:val="none"/>
              </w:rPr>
              <w:t>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0.40</w:t>
            </w:r>
            <w:r>
              <w:rPr>
                <w:rFonts w:hint="eastAsia" w:ascii="宋体" w:hAnsi="宋体" w:cs="宋体"/>
                <w:sz w:val="21"/>
                <w:szCs w:val="21"/>
                <w:highlight w:val="none"/>
              </w:rPr>
              <w:t>%〗</w:t>
            </w:r>
            <w:r>
              <w:rPr>
                <w:rFonts w:hint="eastAsia" w:ascii="宋体" w:hAnsi="宋体" w:cs="宋体"/>
                <w:color w:val="000000"/>
                <w:sz w:val="21"/>
                <w:szCs w:val="21"/>
                <w:highlight w:val="none"/>
              </w:rPr>
              <w:t>的</w:t>
            </w:r>
            <w:r>
              <w:rPr>
                <w:rFonts w:hint="eastAsia" w:ascii="宋体" w:hAnsi="宋体" w:cs="宋体"/>
                <w:color w:val="000000"/>
                <w:sz w:val="21"/>
                <w:szCs w:val="21"/>
                <w:highlight w:val="none"/>
                <w:lang w:eastAsia="zh-CN"/>
              </w:rPr>
              <w:t>销售服务费。</w:t>
            </w:r>
          </w:p>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2.托管费：收取年化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0.025</w:t>
            </w:r>
            <w:r>
              <w:rPr>
                <w:rFonts w:hint="eastAsia" w:ascii="宋体" w:hAnsi="宋体" w:cs="宋体"/>
                <w:sz w:val="21"/>
                <w:szCs w:val="21"/>
                <w:highlight w:val="none"/>
              </w:rPr>
              <w:t>%〗</w:t>
            </w:r>
            <w:r>
              <w:rPr>
                <w:rFonts w:hint="eastAsia" w:ascii="宋体" w:hAnsi="宋体" w:cs="宋体"/>
                <w:color w:val="000000"/>
                <w:sz w:val="21"/>
                <w:szCs w:val="21"/>
                <w:highlight w:val="none"/>
              </w:rPr>
              <w:t>的托管费。</w:t>
            </w:r>
          </w:p>
          <w:p>
            <w:pPr>
              <w:widowControl/>
              <w:spacing w:line="360" w:lineRule="auto"/>
              <w:contextualSpacing/>
              <w:rPr>
                <w:rFonts w:hint="eastAsia" w:ascii="宋体" w:hAnsi="宋体" w:eastAsia="宋体" w:cs="宋体"/>
                <w:bCs/>
                <w:color w:val="FF0000"/>
                <w:sz w:val="21"/>
                <w:szCs w:val="21"/>
                <w:highlight w:val="none"/>
                <w:lang w:eastAsia="zh-CN"/>
              </w:rPr>
            </w:pPr>
            <w:r>
              <w:rPr>
                <w:rFonts w:hint="eastAsia" w:ascii="宋体" w:hAnsi="宋体" w:cs="宋体"/>
                <w:color w:val="000000"/>
                <w:sz w:val="21"/>
                <w:szCs w:val="21"/>
                <w:highlight w:val="none"/>
              </w:rPr>
              <w:t>3.固定管理费：</w:t>
            </w:r>
            <w:r>
              <w:rPr>
                <w:rFonts w:hint="eastAsia" w:ascii="宋体" w:hAnsi="宋体" w:cs="宋体"/>
                <w:sz w:val="21"/>
                <w:szCs w:val="21"/>
                <w:highlight w:val="none"/>
              </w:rPr>
              <w:t>〖</w:t>
            </w:r>
            <w:r>
              <w:rPr>
                <w:rFonts w:hint="eastAsia" w:ascii="宋体" w:hAnsi="宋体" w:cs="宋体"/>
                <w:sz w:val="21"/>
                <w:szCs w:val="21"/>
                <w:highlight w:val="none"/>
                <w:lang w:val="en-US" w:eastAsia="zh-CN"/>
              </w:rPr>
              <w:t>A</w:t>
            </w:r>
            <w:r>
              <w:rPr>
                <w:rFonts w:hint="eastAsia" w:ascii="宋体" w:hAnsi="宋体" w:cs="宋体"/>
                <w:bCs/>
                <w:color w:val="auto"/>
                <w:sz w:val="21"/>
                <w:szCs w:val="21"/>
                <w:highlight w:val="none"/>
                <w:lang w:val="en-US" w:eastAsia="zh-CN"/>
              </w:rPr>
              <w:t>份额</w:t>
            </w:r>
            <w:r>
              <w:rPr>
                <w:rFonts w:hint="eastAsia" w:ascii="宋体" w:hAnsi="宋体" w:cs="宋体"/>
                <w:sz w:val="21"/>
                <w:szCs w:val="21"/>
                <w:highlight w:val="none"/>
              </w:rPr>
              <w:t>〗</w:t>
            </w:r>
            <w:r>
              <w:rPr>
                <w:rFonts w:hint="eastAsia" w:ascii="宋体" w:hAnsi="宋体" w:cs="宋体"/>
                <w:color w:val="000000"/>
                <w:sz w:val="21"/>
                <w:szCs w:val="21"/>
                <w:highlight w:val="none"/>
              </w:rPr>
              <w:t>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0.30</w:t>
            </w:r>
            <w:r>
              <w:rPr>
                <w:rFonts w:hint="eastAsia" w:ascii="宋体" w:hAnsi="宋体" w:cs="宋体"/>
                <w:sz w:val="21"/>
                <w:szCs w:val="21"/>
                <w:highlight w:val="none"/>
              </w:rPr>
              <w:t>%〗</w:t>
            </w:r>
            <w:r>
              <w:rPr>
                <w:rFonts w:hint="eastAsia" w:ascii="宋体" w:hAnsi="宋体" w:cs="宋体"/>
                <w:color w:val="000000"/>
                <w:sz w:val="21"/>
                <w:szCs w:val="21"/>
                <w:highlight w:val="none"/>
              </w:rPr>
              <w:t>的固定管理费</w:t>
            </w:r>
            <w:r>
              <w:rPr>
                <w:rFonts w:hint="eastAsia" w:ascii="宋体" w:hAnsi="宋体" w:cs="宋体"/>
                <w:color w:val="000000"/>
                <w:sz w:val="21"/>
                <w:szCs w:val="21"/>
                <w:highlight w:val="none"/>
                <w:lang w:eastAsia="zh-CN"/>
              </w:rPr>
              <w:t>；</w:t>
            </w:r>
            <w:r>
              <w:rPr>
                <w:rFonts w:hint="eastAsia" w:ascii="宋体" w:hAnsi="宋体" w:cs="宋体"/>
                <w:sz w:val="21"/>
                <w:szCs w:val="21"/>
                <w:highlight w:val="none"/>
              </w:rPr>
              <w:t>〖</w:t>
            </w:r>
            <w:r>
              <w:rPr>
                <w:rFonts w:hint="eastAsia" w:ascii="宋体" w:hAnsi="宋体" w:cs="宋体"/>
                <w:sz w:val="21"/>
                <w:szCs w:val="21"/>
                <w:highlight w:val="none"/>
                <w:lang w:val="en-US" w:eastAsia="zh-CN"/>
              </w:rPr>
              <w:t>B</w:t>
            </w:r>
            <w:r>
              <w:rPr>
                <w:rFonts w:hint="eastAsia" w:ascii="宋体" w:hAnsi="宋体" w:cs="宋体"/>
                <w:bCs/>
                <w:color w:val="auto"/>
                <w:sz w:val="21"/>
                <w:szCs w:val="21"/>
                <w:highlight w:val="none"/>
                <w:lang w:val="en-US" w:eastAsia="zh-CN"/>
              </w:rPr>
              <w:t>份额</w:t>
            </w:r>
            <w:r>
              <w:rPr>
                <w:rFonts w:hint="eastAsia" w:ascii="宋体" w:hAnsi="宋体" w:cs="宋体"/>
                <w:sz w:val="21"/>
                <w:szCs w:val="21"/>
                <w:highlight w:val="none"/>
              </w:rPr>
              <w:t>〗</w:t>
            </w:r>
            <w:r>
              <w:rPr>
                <w:rFonts w:hint="eastAsia" w:ascii="宋体" w:hAnsi="宋体" w:cs="宋体"/>
                <w:color w:val="000000"/>
                <w:sz w:val="21"/>
                <w:szCs w:val="21"/>
                <w:highlight w:val="none"/>
              </w:rPr>
              <w:t>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0.30</w:t>
            </w:r>
            <w:r>
              <w:rPr>
                <w:rFonts w:hint="eastAsia" w:ascii="宋体" w:hAnsi="宋体" w:cs="宋体"/>
                <w:sz w:val="21"/>
                <w:szCs w:val="21"/>
                <w:highlight w:val="none"/>
              </w:rPr>
              <w:t>%〗</w:t>
            </w:r>
            <w:r>
              <w:rPr>
                <w:rFonts w:hint="eastAsia" w:ascii="宋体" w:hAnsi="宋体" w:cs="宋体"/>
                <w:color w:val="000000"/>
                <w:sz w:val="21"/>
                <w:szCs w:val="21"/>
                <w:highlight w:val="none"/>
              </w:rPr>
              <w:t>的固定管理费</w:t>
            </w:r>
            <w:r>
              <w:rPr>
                <w:rFonts w:hint="eastAsia" w:ascii="宋体" w:hAnsi="宋体" w:cs="宋体"/>
                <w:color w:val="000000"/>
                <w:sz w:val="21"/>
                <w:szCs w:val="21"/>
                <w:highlight w:val="none"/>
                <w:lang w:eastAsia="zh-CN"/>
              </w:rPr>
              <w:t>；</w:t>
            </w:r>
            <w:r>
              <w:rPr>
                <w:rFonts w:hint="eastAsia" w:ascii="宋体" w:hAnsi="宋体" w:cs="宋体"/>
                <w:sz w:val="21"/>
                <w:szCs w:val="21"/>
                <w:highlight w:val="none"/>
              </w:rPr>
              <w:t>〖</w:t>
            </w:r>
            <w:r>
              <w:rPr>
                <w:rFonts w:hint="eastAsia" w:ascii="宋体" w:hAnsi="宋体" w:cs="宋体"/>
                <w:sz w:val="21"/>
                <w:szCs w:val="21"/>
                <w:highlight w:val="none"/>
                <w:lang w:val="en-US" w:eastAsia="zh-CN"/>
              </w:rPr>
              <w:t>W</w:t>
            </w:r>
            <w:r>
              <w:rPr>
                <w:rFonts w:hint="eastAsia" w:ascii="宋体" w:hAnsi="宋体" w:cs="宋体"/>
                <w:bCs/>
                <w:color w:val="auto"/>
                <w:sz w:val="21"/>
                <w:szCs w:val="21"/>
                <w:highlight w:val="none"/>
                <w:lang w:val="en-US" w:eastAsia="zh-CN"/>
              </w:rPr>
              <w:t>份额</w:t>
            </w:r>
            <w:r>
              <w:rPr>
                <w:rFonts w:hint="eastAsia" w:ascii="宋体" w:hAnsi="宋体" w:cs="宋体"/>
                <w:sz w:val="21"/>
                <w:szCs w:val="21"/>
                <w:highlight w:val="none"/>
              </w:rPr>
              <w:t>〗</w:t>
            </w:r>
            <w:r>
              <w:rPr>
                <w:rFonts w:hint="eastAsia" w:ascii="宋体" w:hAnsi="宋体" w:cs="宋体"/>
                <w:color w:val="000000"/>
                <w:sz w:val="21"/>
                <w:szCs w:val="21"/>
                <w:highlight w:val="none"/>
              </w:rPr>
              <w:t>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0.20</w:t>
            </w:r>
            <w:r>
              <w:rPr>
                <w:rFonts w:hint="eastAsia" w:ascii="宋体" w:hAnsi="宋体" w:cs="宋体"/>
                <w:sz w:val="21"/>
                <w:szCs w:val="21"/>
                <w:highlight w:val="none"/>
              </w:rPr>
              <w:t>%〗</w:t>
            </w:r>
            <w:r>
              <w:rPr>
                <w:rFonts w:hint="eastAsia" w:ascii="宋体" w:hAnsi="宋体" w:cs="宋体"/>
                <w:color w:val="000000"/>
                <w:sz w:val="21"/>
                <w:szCs w:val="21"/>
                <w:highlight w:val="none"/>
              </w:rPr>
              <w:t>的固定管理费</w:t>
            </w:r>
            <w:r>
              <w:rPr>
                <w:rFonts w:hint="eastAsia" w:ascii="宋体" w:hAnsi="宋体" w:cs="宋体"/>
                <w:color w:val="000000"/>
                <w:sz w:val="21"/>
                <w:szCs w:val="21"/>
                <w:highlight w:val="none"/>
                <w:lang w:eastAsia="zh-CN"/>
              </w:rPr>
              <w:t>。</w:t>
            </w:r>
          </w:p>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4.认购费：本理财计划免除认购费。</w:t>
            </w:r>
          </w:p>
          <w:p>
            <w:pPr>
              <w:widowControl/>
              <w:spacing w:line="360" w:lineRule="auto"/>
              <w:contextualSpacing/>
              <w:rPr>
                <w:rFonts w:hint="eastAsia" w:ascii="宋体" w:hAnsi="宋体" w:cs="宋体"/>
                <w:color w:val="000000"/>
                <w:sz w:val="21"/>
                <w:szCs w:val="21"/>
                <w:highlight w:val="none"/>
              </w:rPr>
            </w:pPr>
            <w:r>
              <w:rPr>
                <w:rFonts w:hint="eastAsia" w:ascii="宋体" w:hAnsi="宋体" w:cs="宋体"/>
                <w:bCs/>
                <w:sz w:val="21"/>
                <w:szCs w:val="21"/>
                <w:highlight w:val="none"/>
              </w:rPr>
              <w:t>5.申购费：</w:t>
            </w:r>
            <w:r>
              <w:rPr>
                <w:rFonts w:hint="eastAsia" w:ascii="宋体" w:hAnsi="宋体" w:cs="宋体"/>
                <w:color w:val="000000"/>
                <w:sz w:val="21"/>
                <w:szCs w:val="21"/>
                <w:highlight w:val="none"/>
              </w:rPr>
              <w:t>本理财计划免除申购费。</w:t>
            </w:r>
          </w:p>
          <w:p>
            <w:pPr>
              <w:widowControl/>
              <w:spacing w:line="360" w:lineRule="auto"/>
              <w:contextualSpacing/>
              <w:rPr>
                <w:rFonts w:ascii="宋体" w:hAnsi="宋体" w:cs="宋体"/>
                <w:bCs/>
                <w:sz w:val="21"/>
                <w:szCs w:val="21"/>
                <w:highlight w:val="none"/>
              </w:rPr>
            </w:pPr>
            <w:r>
              <w:rPr>
                <w:rFonts w:hint="eastAsia" w:ascii="宋体" w:hAnsi="宋体" w:cs="宋体"/>
                <w:bCs/>
                <w:sz w:val="21"/>
                <w:szCs w:val="21"/>
                <w:highlight w:val="none"/>
              </w:rPr>
              <w:t>6.赎回费：</w:t>
            </w:r>
            <w:r>
              <w:rPr>
                <w:rFonts w:hint="eastAsia" w:ascii="宋体" w:hAnsi="宋体" w:cs="宋体"/>
                <w:color w:val="000000"/>
                <w:sz w:val="21"/>
                <w:szCs w:val="21"/>
                <w:highlight w:val="none"/>
              </w:rPr>
              <w:t>本理财计划免除赎回费。</w:t>
            </w:r>
          </w:p>
          <w:p>
            <w:pPr>
              <w:widowControl/>
              <w:spacing w:line="360" w:lineRule="auto"/>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7.浮动管理费。管理人根据理财计划投资情况计算浮动管理费，本理财计划</w:t>
            </w:r>
            <w:r>
              <w:rPr>
                <w:rFonts w:hint="eastAsia" w:ascii="宋体" w:hAnsi="宋体" w:cs="宋体"/>
                <w:color w:val="000000"/>
                <w:sz w:val="21"/>
                <w:szCs w:val="21"/>
                <w:highlight w:val="none"/>
                <w:lang w:val="en-US" w:eastAsia="zh-CN"/>
              </w:rPr>
              <w:t>份额</w:t>
            </w:r>
            <w:r>
              <w:rPr>
                <w:rFonts w:hint="eastAsia" w:ascii="宋体" w:hAnsi="宋体" w:cs="宋体"/>
                <w:color w:val="000000"/>
                <w:sz w:val="21"/>
                <w:szCs w:val="21"/>
                <w:highlight w:val="none"/>
              </w:rPr>
              <w:t>投资周期的</w:t>
            </w:r>
            <w:r>
              <w:rPr>
                <w:rFonts w:hint="eastAsia" w:ascii="宋体" w:hAnsi="宋体" w:cs="宋体"/>
                <w:sz w:val="21"/>
                <w:szCs w:val="21"/>
                <w:highlight w:val="none"/>
              </w:rPr>
              <w:t>〖</w:t>
            </w:r>
            <w:r>
              <w:rPr>
                <w:rFonts w:hint="eastAsia" w:ascii="宋体" w:hAnsi="宋体" w:cs="宋体"/>
                <w:color w:val="000000"/>
                <w:sz w:val="21"/>
                <w:szCs w:val="21"/>
                <w:highlight w:val="none"/>
              </w:rPr>
              <w:t>折合年化收益率超过</w:t>
            </w:r>
            <w:r>
              <w:rPr>
                <w:rFonts w:hint="eastAsia" w:ascii="宋体" w:hAnsi="宋体" w:cs="宋体"/>
                <w:color w:val="000000"/>
                <w:sz w:val="21"/>
                <w:szCs w:val="21"/>
                <w:highlight w:val="none"/>
                <w:lang w:val="en-US" w:eastAsia="zh-CN"/>
              </w:rPr>
              <w:t>业绩比较基准上限</w:t>
            </w:r>
            <w:r>
              <w:rPr>
                <w:rFonts w:hint="eastAsia" w:ascii="宋体" w:hAnsi="宋体" w:cs="宋体"/>
                <w:sz w:val="21"/>
                <w:szCs w:val="21"/>
                <w:highlight w:val="none"/>
              </w:rPr>
              <w:t>〗</w:t>
            </w:r>
            <w:r>
              <w:rPr>
                <w:rFonts w:hint="eastAsia" w:ascii="宋体" w:hAnsi="宋体" w:cs="宋体"/>
                <w:color w:val="000000"/>
                <w:sz w:val="21"/>
                <w:szCs w:val="21"/>
                <w:highlight w:val="none"/>
              </w:rPr>
              <w:t>的部分,</w:t>
            </w:r>
            <w:r>
              <w:rPr>
                <w:rFonts w:hint="eastAsia" w:ascii="宋体" w:hAnsi="宋体" w:cs="宋体"/>
                <w:b/>
                <w:color w:val="000000"/>
                <w:sz w:val="21"/>
                <w:szCs w:val="21"/>
                <w:highlight w:val="none"/>
              </w:rPr>
              <w:t>管理人提取</w:t>
            </w:r>
            <w:r>
              <w:rPr>
                <w:rFonts w:hint="eastAsia" w:ascii="宋体" w:hAnsi="宋体" w:cs="宋体"/>
                <w:b/>
                <w:bCs/>
                <w:sz w:val="21"/>
                <w:szCs w:val="21"/>
                <w:highlight w:val="none"/>
              </w:rPr>
              <w:t>〖</w:t>
            </w:r>
            <w:r>
              <w:rPr>
                <w:rFonts w:hint="eastAsia" w:ascii="宋体" w:hAnsi="宋体" w:cs="宋体"/>
                <w:b/>
                <w:bCs/>
                <w:sz w:val="21"/>
                <w:szCs w:val="21"/>
                <w:highlight w:val="none"/>
                <w:lang w:val="en-US" w:eastAsia="zh-CN"/>
              </w:rPr>
              <w:t>50</w:t>
            </w:r>
            <w:r>
              <w:rPr>
                <w:rFonts w:hint="eastAsia" w:ascii="宋体" w:hAnsi="宋体" w:cs="宋体"/>
                <w:b/>
                <w:bCs/>
                <w:sz w:val="21"/>
                <w:szCs w:val="21"/>
                <w:highlight w:val="none"/>
              </w:rPr>
              <w:t>%〗</w:t>
            </w:r>
            <w:r>
              <w:rPr>
                <w:rFonts w:hint="eastAsia" w:ascii="宋体" w:hAnsi="宋体" w:cs="宋体"/>
                <w:b/>
                <w:color w:val="000000"/>
                <w:sz w:val="21"/>
                <w:szCs w:val="21"/>
                <w:highlight w:val="none"/>
              </w:rPr>
              <w:t>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提前终止</w:t>
            </w:r>
          </w:p>
        </w:tc>
        <w:tc>
          <w:tcPr>
            <w:tcW w:w="7185" w:type="dxa"/>
            <w:noWrap w:val="0"/>
            <w:vAlign w:val="center"/>
          </w:tcPr>
          <w:p>
            <w:pPr>
              <w:widowControl/>
              <w:spacing w:line="360" w:lineRule="auto"/>
              <w:contextualSpacing/>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如遇国家金融政策出现重大调整并影响到本理财计划的正常运行的、市场收益率大幅波动可能或实质影响理财计划收益等情况，管理人有权提前</w:t>
            </w:r>
            <w:r>
              <w:rPr>
                <w:rFonts w:hint="eastAsia" w:ascii="宋体" w:hAnsi="宋体" w:cs="宋体"/>
                <w:b/>
                <w:color w:val="000000"/>
                <w:kern w:val="0"/>
                <w:sz w:val="21"/>
                <w:szCs w:val="21"/>
                <w:highlight w:val="none"/>
                <w:lang w:eastAsia="zh-CN"/>
              </w:rPr>
              <w:t>全部或部分</w:t>
            </w:r>
            <w:r>
              <w:rPr>
                <w:rFonts w:hint="eastAsia" w:ascii="宋体" w:hAnsi="宋体" w:cs="宋体"/>
                <w:b/>
                <w:color w:val="000000"/>
                <w:kern w:val="0"/>
                <w:sz w:val="21"/>
                <w:szCs w:val="21"/>
                <w:highlight w:val="none"/>
              </w:rPr>
              <w:t>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税费规定</w:t>
            </w:r>
          </w:p>
        </w:tc>
        <w:tc>
          <w:tcPr>
            <w:tcW w:w="7185" w:type="dxa"/>
            <w:noWrap w:val="0"/>
            <w:vAlign w:val="center"/>
          </w:tcPr>
          <w:p>
            <w:pPr>
              <w:spacing w:line="360" w:lineRule="auto"/>
              <w:outlineLvl w:val="0"/>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融资服务</w:t>
            </w:r>
          </w:p>
        </w:tc>
        <w:tc>
          <w:tcPr>
            <w:tcW w:w="7185" w:type="dxa"/>
            <w:noWrap w:val="0"/>
            <w:vAlign w:val="bottom"/>
          </w:tcPr>
          <w:p>
            <w:pPr>
              <w:spacing w:line="360" w:lineRule="auto"/>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投资者在理财期限内不能提前</w:t>
            </w:r>
            <w:r>
              <w:rPr>
                <w:rFonts w:hint="eastAsia" w:ascii="宋体" w:hAnsi="宋体" w:cs="宋体"/>
                <w:b/>
                <w:color w:val="000000"/>
                <w:kern w:val="0"/>
                <w:sz w:val="21"/>
                <w:szCs w:val="21"/>
                <w:highlight w:val="none"/>
                <w:lang w:eastAsia="zh-CN"/>
              </w:rPr>
              <w:t>赎回</w:t>
            </w:r>
            <w:r>
              <w:rPr>
                <w:rFonts w:hint="eastAsia" w:ascii="宋体" w:hAnsi="宋体" w:cs="宋体"/>
                <w:b/>
                <w:color w:val="000000"/>
                <w:kern w:val="0"/>
                <w:sz w:val="21"/>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认购期内按照活期存款利率计息，认购期内的利息不计入认购本金份额。到期日（或理财计划实际终止日）到理财资金返还到账日为还本清算期，还本清算期内不计付利息。</w:t>
            </w:r>
            <w:r>
              <w:rPr>
                <w:rFonts w:hint="eastAsia" w:ascii="宋体" w:hAnsi="宋体" w:cs="宋体"/>
                <w:color w:val="000000"/>
                <w:kern w:val="0"/>
                <w:sz w:val="21"/>
                <w:szCs w:val="21"/>
                <w:highlight w:val="none"/>
              </w:rPr>
              <w:t>（具体以销售机构规定为准）</w:t>
            </w:r>
          </w:p>
          <w:p>
            <w:pPr>
              <w:spacing w:line="360" w:lineRule="auto"/>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9"/>
        </w:numPr>
        <w:spacing w:line="360" w:lineRule="auto"/>
        <w:ind w:firstLine="482" w:firstLineChars="200"/>
        <w:outlineLvl w:val="1"/>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2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本理财计划主要投资于符合监管要求的各类资产：</w:t>
      </w:r>
    </w:p>
    <w:p>
      <w:pPr>
        <w:numPr>
          <w:ilvl w:val="0"/>
          <w:numId w:val="2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固定收益类资产：包括但不限于各类债券、存款、货币市场金融工具、债券基金、质押式及买断式回购，其他符合监管要求的固定收益类资产及资产管理产品。</w:t>
      </w:r>
    </w:p>
    <w:p>
      <w:pPr>
        <w:numPr>
          <w:ilvl w:val="0"/>
          <w:numId w:val="2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权益类资产：包括国内发行上市优先股、上市公司股票、定向增发、员工持股计划、以及其他符合监管要求的权益类资产及资产管理产品（不包括未上市企业股权）。</w:t>
      </w:r>
    </w:p>
    <w:p>
      <w:pPr>
        <w:numPr>
          <w:ilvl w:val="0"/>
          <w:numId w:val="2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投资比例</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本理财计划各投资资产占</w:t>
      </w:r>
      <w:r>
        <w:rPr>
          <w:rFonts w:hint="eastAsia" w:ascii="宋体" w:hAnsi="宋体" w:cs="宋体"/>
          <w:bCs/>
          <w:sz w:val="24"/>
          <w:highlight w:val="none"/>
          <w:lang w:val="en-US" w:eastAsia="zh-CN"/>
        </w:rPr>
        <w:t>总</w:t>
      </w:r>
      <w:r>
        <w:rPr>
          <w:rFonts w:hint="eastAsia" w:ascii="宋体" w:hAnsi="宋体" w:cs="宋体"/>
          <w:bCs/>
          <w:sz w:val="24"/>
          <w:highlight w:val="none"/>
        </w:rPr>
        <w:t>资产的配置比例如下：</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4740"/>
        <w:gridCol w:w="1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noWrap w:val="0"/>
            <w:vAlign w:val="top"/>
          </w:tcPr>
          <w:p>
            <w:pPr>
              <w:spacing w:line="360" w:lineRule="auto"/>
              <w:jc w:val="center"/>
              <w:rPr>
                <w:rFonts w:ascii="宋体" w:hAnsi="宋体" w:cs="宋体"/>
                <w:bCs/>
                <w:szCs w:val="21"/>
                <w:highlight w:val="none"/>
              </w:rPr>
            </w:pPr>
          </w:p>
        </w:tc>
        <w:tc>
          <w:tcPr>
            <w:tcW w:w="4740" w:type="dxa"/>
            <w:noWrap w:val="0"/>
            <w:vAlign w:val="top"/>
          </w:tcPr>
          <w:p>
            <w:pPr>
              <w:spacing w:line="360" w:lineRule="auto"/>
              <w:jc w:val="center"/>
              <w:rPr>
                <w:rFonts w:ascii="宋体" w:hAnsi="宋体" w:cs="宋体"/>
                <w:bCs/>
                <w:szCs w:val="21"/>
                <w:highlight w:val="none"/>
              </w:rPr>
            </w:pPr>
            <w:r>
              <w:rPr>
                <w:rFonts w:hint="eastAsia" w:ascii="宋体" w:hAnsi="宋体" w:cs="宋体"/>
                <w:bCs/>
                <w:szCs w:val="21"/>
                <w:highlight w:val="none"/>
              </w:rPr>
              <w:t>投资资产</w:t>
            </w:r>
          </w:p>
        </w:tc>
        <w:tc>
          <w:tcPr>
            <w:tcW w:w="1996" w:type="dxa"/>
            <w:noWrap w:val="0"/>
            <w:vAlign w:val="top"/>
          </w:tcPr>
          <w:p>
            <w:pPr>
              <w:spacing w:line="360" w:lineRule="auto"/>
              <w:jc w:val="center"/>
              <w:rPr>
                <w:rFonts w:ascii="宋体" w:hAnsi="宋体" w:cs="宋体"/>
                <w:bCs/>
                <w:szCs w:val="21"/>
                <w:highlight w:val="none"/>
              </w:rPr>
            </w:pPr>
            <w:r>
              <w:rPr>
                <w:rFonts w:hint="eastAsia" w:ascii="宋体" w:hAnsi="宋体" w:cs="宋体"/>
                <w:bCs/>
                <w:szCs w:val="21"/>
                <w:highlight w:val="none"/>
              </w:rPr>
              <w:t>配置比例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vMerge w:val="restart"/>
            <w:noWrap w:val="0"/>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大类资产类型</w:t>
            </w:r>
          </w:p>
        </w:tc>
        <w:tc>
          <w:tcPr>
            <w:tcW w:w="4740" w:type="dxa"/>
            <w:noWrap w:val="0"/>
            <w:vAlign w:val="top"/>
          </w:tcPr>
          <w:p>
            <w:pPr>
              <w:spacing w:line="360" w:lineRule="auto"/>
              <w:jc w:val="center"/>
              <w:rPr>
                <w:rFonts w:ascii="宋体" w:hAnsi="宋体" w:cs="宋体"/>
                <w:bCs/>
                <w:szCs w:val="21"/>
                <w:highlight w:val="none"/>
              </w:rPr>
            </w:pPr>
            <w:r>
              <w:rPr>
                <w:rFonts w:hint="eastAsia" w:ascii="宋体" w:hAnsi="宋体" w:cs="宋体"/>
                <w:bCs/>
                <w:szCs w:val="21"/>
                <w:highlight w:val="none"/>
              </w:rPr>
              <w:t>固定收益类资产</w:t>
            </w:r>
          </w:p>
        </w:tc>
        <w:tc>
          <w:tcPr>
            <w:tcW w:w="1996" w:type="dxa"/>
            <w:noWrap w:val="0"/>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vMerge w:val="continue"/>
            <w:noWrap w:val="0"/>
            <w:vAlign w:val="center"/>
          </w:tcPr>
          <w:p>
            <w:pPr>
              <w:spacing w:line="360" w:lineRule="auto"/>
              <w:jc w:val="left"/>
              <w:rPr>
                <w:rFonts w:ascii="宋体" w:hAnsi="宋体" w:cs="宋体"/>
                <w:bCs/>
                <w:szCs w:val="21"/>
                <w:highlight w:val="none"/>
              </w:rPr>
            </w:pPr>
          </w:p>
        </w:tc>
        <w:tc>
          <w:tcPr>
            <w:tcW w:w="4740" w:type="dxa"/>
            <w:noWrap w:val="0"/>
            <w:vAlign w:val="top"/>
          </w:tcPr>
          <w:p>
            <w:pPr>
              <w:spacing w:line="360" w:lineRule="auto"/>
              <w:jc w:val="center"/>
              <w:rPr>
                <w:rFonts w:ascii="宋体" w:hAnsi="宋体" w:cs="宋体"/>
                <w:bCs/>
                <w:szCs w:val="21"/>
                <w:highlight w:val="none"/>
              </w:rPr>
            </w:pPr>
            <w:r>
              <w:rPr>
                <w:rFonts w:hint="eastAsia" w:ascii="宋体" w:hAnsi="宋体" w:cs="宋体"/>
                <w:bCs/>
                <w:szCs w:val="21"/>
                <w:highlight w:val="none"/>
              </w:rPr>
              <w:t>权益类资产</w:t>
            </w:r>
          </w:p>
        </w:tc>
        <w:tc>
          <w:tcPr>
            <w:tcW w:w="1996" w:type="dxa"/>
            <w:noWrap w:val="0"/>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0%-20%</w:t>
            </w:r>
          </w:p>
        </w:tc>
      </w:tr>
    </w:tbl>
    <w:p>
      <w:pPr>
        <w:pStyle w:val="16"/>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2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投资策略</w:t>
      </w:r>
    </w:p>
    <w:p>
      <w:pPr>
        <w:pStyle w:val="16"/>
        <w:spacing w:line="360" w:lineRule="auto"/>
        <w:ind w:firstLine="480" w:firstLineChars="200"/>
        <w:rPr>
          <w:rFonts w:hint="eastAsia" w:ascii="宋体" w:hAnsi="宋体" w:cs="宋体"/>
          <w:b/>
          <w:sz w:val="24"/>
          <w:highlight w:val="none"/>
        </w:rPr>
      </w:pPr>
      <w:r>
        <w:rPr>
          <w:rFonts w:hint="eastAsia" w:ascii="宋体" w:cs="宋体"/>
          <w:sz w:val="24"/>
          <w:szCs w:val="24"/>
          <w:highlight w:val="none"/>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cs="宋体"/>
          <w:b/>
          <w:sz w:val="24"/>
          <w:szCs w:val="24"/>
          <w:highlight w:val="none"/>
        </w:rPr>
        <w:t>本产品还可能根据市场行情，在监管政策允许的范围内，在适当的时机投资不高于理财产品总资产的20%的资金于其他资产。</w:t>
      </w:r>
    </w:p>
    <w:p>
      <w:pPr>
        <w:numPr>
          <w:ilvl w:val="0"/>
          <w:numId w:val="2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leftChars="0" w:firstLine="480" w:firstLineChars="200"/>
        <w:jc w:val="left"/>
        <w:outlineLvl w:val="2"/>
        <w:rPr>
          <w:rFonts w:hint="eastAsia" w:ascii="宋体" w:hAnsi="宋体" w:cs="宋体"/>
          <w:b/>
          <w:sz w:val="24"/>
          <w:highlight w:val="none"/>
        </w:rPr>
      </w:pPr>
      <w:r>
        <w:rPr>
          <w:rFonts w:hint="eastAsia" w:ascii="宋体" w:hAnsi="宋体" w:cs="宋体"/>
          <w:b w:val="0"/>
          <w:bCs/>
          <w:sz w:val="24"/>
          <w:highlight w:val="none"/>
          <w:lang w:val="en-US" w:eastAsia="zh-CN"/>
        </w:rPr>
        <w:t>投资限制中列示的资产品种不代表管理人的实际投向，本理财计划投资范围以“投资范围”章节表述为准。</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23"/>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证券投资基金</w:t>
      </w:r>
      <w:r>
        <w:rPr>
          <w:rFonts w:ascii="宋体" w:hAnsi="宋体" w:cs="宋体"/>
          <w:bCs/>
          <w:sz w:val="24"/>
          <w:highlight w:val="none"/>
        </w:rP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2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2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numPr>
          <w:ilvl w:val="0"/>
          <w:numId w:val="2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管理人</w:t>
      </w:r>
      <w:r>
        <w:rPr>
          <w:rFonts w:hint="eastAsia" w:ascii="宋体" w:hAnsi="宋体" w:cs="宋体"/>
          <w:bCs/>
          <w:sz w:val="24"/>
          <w:highlight w:val="none"/>
        </w:rPr>
        <w:t>发行的全部</w:t>
      </w:r>
      <w:r>
        <w:rPr>
          <w:rFonts w:hint="eastAsia" w:ascii="宋体" w:hAnsi="宋体"/>
          <w:sz w:val="24"/>
          <w:highlight w:val="none"/>
        </w:rPr>
        <w:t>开放式公募</w:t>
      </w:r>
      <w:r>
        <w:rPr>
          <w:rFonts w:hint="eastAsia" w:ascii="宋体" w:hAnsi="宋体" w:cs="宋体"/>
          <w:bCs/>
          <w:sz w:val="24"/>
          <w:highlight w:val="none"/>
        </w:rPr>
        <w:t>理财计划</w:t>
      </w:r>
      <w:r>
        <w:rPr>
          <w:rFonts w:hint="eastAsia" w:ascii="宋体" w:hAnsi="宋体"/>
          <w:sz w:val="24"/>
          <w:highlight w:val="none"/>
        </w:rPr>
        <w:t>投资单一上市公司发行的股票,不得超过该上市公司可流通股票的15%。</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本理财计划投资的非标准化债权类资产到期日不得晚于理财计划最近一次开放日。</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本理财计划的总资产不得超过净资产的140%。</w:t>
      </w:r>
    </w:p>
    <w:p>
      <w:pPr>
        <w:numPr>
          <w:ilvl w:val="0"/>
          <w:numId w:val="24"/>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流动性限制</w:t>
      </w:r>
    </w:p>
    <w:p>
      <w:pPr>
        <w:numPr>
          <w:ilvl w:val="0"/>
          <w:numId w:val="25"/>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本理财计划直接投资于流动性受限资产的市值在开放日不得超过该理财计划资产净值的15%。</w:t>
      </w:r>
    </w:p>
    <w:p>
      <w:pPr>
        <w:numPr>
          <w:ilvl w:val="0"/>
          <w:numId w:val="25"/>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本理财计划如定期开放周期不低于90天，应当在开放日及开放日前7个工作日内持有不低于该理财计划资产净值5%的现金或者到期日在一年以内的国债、中央银行票据和政策性金融债券；如定期开放周期低于90天，</w:t>
      </w:r>
      <w:r>
        <w:rPr>
          <w:rFonts w:hint="eastAsia" w:ascii="宋体" w:hAnsi="宋体" w:cs="宋体"/>
          <w:bCs/>
          <w:sz w:val="24"/>
          <w:highlight w:val="none"/>
        </w:rPr>
        <w:t>应当持有不低于该理财</w:t>
      </w:r>
      <w:r>
        <w:rPr>
          <w:rFonts w:hint="eastAsia" w:ascii="宋体" w:hAnsi="宋体" w:cs="宋体"/>
          <w:bCs/>
          <w:sz w:val="24"/>
          <w:highlight w:val="none"/>
          <w:lang w:eastAsia="zh-CN"/>
        </w:rPr>
        <w:t>计划</w:t>
      </w:r>
      <w:r>
        <w:rPr>
          <w:rFonts w:hint="eastAsia" w:ascii="宋体" w:hAnsi="宋体" w:cs="宋体"/>
          <w:bCs/>
          <w:sz w:val="24"/>
          <w:highlight w:val="none"/>
        </w:rPr>
        <w:t>资产净值5%的现金或者到期日在一年以内的国债、中央银行票据和政策性金融债券。</w:t>
      </w:r>
    </w:p>
    <w:p>
      <w:pPr>
        <w:numPr>
          <w:ilvl w:val="0"/>
          <w:numId w:val="25"/>
        </w:numPr>
        <w:spacing w:line="360" w:lineRule="auto"/>
        <w:ind w:firstLine="480" w:firstLineChars="200"/>
        <w:jc w:val="left"/>
        <w:rPr>
          <w:rFonts w:hint="default" w:ascii="宋体" w:hAnsi="宋体" w:cs="宋体"/>
          <w:bCs/>
          <w:sz w:val="24"/>
          <w:highlight w:val="none"/>
          <w:lang w:val="en-US" w:eastAsia="zh-CN"/>
        </w:rPr>
      </w:pPr>
      <w:r>
        <w:rPr>
          <w:rFonts w:hint="eastAsia" w:ascii="宋体" w:hAnsi="宋体" w:cs="宋体"/>
          <w:bCs/>
          <w:sz w:val="24"/>
          <w:highlight w:val="none"/>
          <w:lang w:val="en-US" w:eastAsia="zh-CN"/>
        </w:rPr>
        <w:t>在开放日前一工作日内，本理财计划7个工作日可变现资产的可变现价值应当不低于该理财计划资产净值的10%。</w:t>
      </w:r>
    </w:p>
    <w:p>
      <w:pPr>
        <w:numPr>
          <w:ilvl w:val="0"/>
          <w:numId w:val="25"/>
        </w:numPr>
        <w:spacing w:line="360" w:lineRule="auto"/>
        <w:ind w:firstLine="480" w:firstLineChars="200"/>
        <w:jc w:val="left"/>
        <w:rPr>
          <w:rFonts w:hint="default" w:ascii="宋体" w:hAnsi="宋体" w:cs="宋体"/>
          <w:bCs/>
          <w:sz w:val="24"/>
          <w:highlight w:val="none"/>
          <w:lang w:val="en-US" w:eastAsia="zh-CN"/>
        </w:rPr>
      </w:pPr>
      <w:r>
        <w:rPr>
          <w:rFonts w:hint="eastAsia" w:ascii="宋体" w:hAnsi="宋体" w:cs="宋体"/>
          <w:bCs/>
          <w:sz w:val="24"/>
          <w:highlight w:val="none"/>
          <w:lang w:val="en-US" w:eastAsia="zh-CN"/>
        </w:rPr>
        <w:t>本理财计划如定期开放周期低于90天，计划投资不存在活跃交易市场，并且需要采用估值技术确定公允价值的资产比例不得超过理财产品净资产50%以上。</w:t>
      </w:r>
    </w:p>
    <w:p>
      <w:pPr>
        <w:numPr>
          <w:ilvl w:val="0"/>
          <w:numId w:val="26"/>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资产支持证券</w:t>
      </w:r>
      <w:r>
        <w:rPr>
          <w:rFonts w:ascii="宋体" w:hAnsi="宋体" w:cs="宋体"/>
          <w:bCs/>
          <w:sz w:val="24"/>
          <w:highlight w:val="none"/>
        </w:rPr>
        <w:fldChar w:fldCharType="end"/>
      </w:r>
      <w:r>
        <w:rPr>
          <w:rFonts w:hint="eastAsia" w:ascii="宋体" w:hAnsi="宋体" w:cs="宋体"/>
          <w:bCs/>
          <w:sz w:val="24"/>
          <w:highlight w:val="none"/>
        </w:rPr>
        <w:t>，不得直接或间接投资于未上市公司股权及其受（收）益权。</w:t>
      </w:r>
    </w:p>
    <w:p>
      <w:pPr>
        <w:numPr>
          <w:ilvl w:val="0"/>
          <w:numId w:val="20"/>
        </w:numPr>
        <w:spacing w:line="360" w:lineRule="auto"/>
        <w:ind w:left="0" w:leftChars="0" w:firstLine="482" w:firstLineChars="200"/>
        <w:jc w:val="left"/>
        <w:outlineLvl w:val="2"/>
        <w:rPr>
          <w:rFonts w:hint="eastAsia" w:ascii="宋体" w:hAnsi="宋体" w:cs="宋体"/>
          <w:b/>
          <w:bCs w:val="0"/>
          <w:sz w:val="24"/>
          <w:highlight w:val="none"/>
        </w:rPr>
      </w:pPr>
      <w:r>
        <w:rPr>
          <w:rFonts w:hint="eastAsia" w:ascii="宋体" w:hAnsi="宋体" w:cs="宋体"/>
          <w:b/>
          <w:bCs w:val="0"/>
          <w:sz w:val="24"/>
          <w:highlight w:val="none"/>
          <w:lang w:eastAsia="zh-CN"/>
        </w:rPr>
        <w:t>拟投资市场、资产的流动性风险评估</w:t>
      </w:r>
    </w:p>
    <w:p>
      <w:pPr>
        <w:numPr>
          <w:ilvl w:val="0"/>
          <w:numId w:val="0"/>
        </w:numPr>
        <w:spacing w:line="360" w:lineRule="auto"/>
        <w:ind w:firstLine="480" w:firstLineChars="200"/>
        <w:jc w:val="left"/>
        <w:rPr>
          <w:rFonts w:hint="eastAsia" w:ascii="宋体" w:hAnsi="宋体" w:cs="宋体"/>
          <w:b w:val="0"/>
          <w:bCs/>
          <w:sz w:val="24"/>
          <w:highlight w:val="none"/>
          <w:lang w:val="en-US" w:eastAsia="zh-CN"/>
        </w:rPr>
      </w:pPr>
      <w:r>
        <w:rPr>
          <w:rFonts w:hint="eastAsia" w:ascii="宋体" w:hAnsi="宋体" w:cs="宋体"/>
          <w:b w:val="0"/>
          <w:bCs/>
          <w:sz w:val="24"/>
          <w:highlight w:val="none"/>
          <w:lang w:eastAsia="zh-CN"/>
        </w:rPr>
        <w:t>本理财计划</w:t>
      </w:r>
      <w:r>
        <w:rPr>
          <w:rFonts w:hint="eastAsia" w:ascii="宋体" w:hAnsi="宋体" w:cs="宋体"/>
          <w:b w:val="0"/>
          <w:bCs/>
          <w:sz w:val="24"/>
          <w:highlight w:val="none"/>
          <w:lang w:val="en-US" w:eastAsia="zh-CN"/>
        </w:rPr>
        <w:t>拟投资市场可能面临的流动性风险如下：</w:t>
      </w:r>
    </w:p>
    <w:p>
      <w:pPr>
        <w:numPr>
          <w:ilvl w:val="0"/>
          <w:numId w:val="27"/>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eastAsia="zh-CN"/>
        </w:rPr>
        <w:t>投资于</w:t>
      </w:r>
      <w:r>
        <w:rPr>
          <w:rFonts w:hint="eastAsia" w:ascii="宋体" w:hAnsi="宋体" w:cs="宋体"/>
          <w:bCs/>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27"/>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27"/>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投资于权益类、其他类资产的可能流动性风险（如有）：权益类、其他类资产包括但不限于上市公司普通股、上市公司优先股、股票基金、股票定向增发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以上风险仅为列举性质，未能详尽列明拟投资市场和资产面临的全部流动性风险</w:t>
      </w:r>
      <w:r>
        <w:rPr>
          <w:rFonts w:hint="default" w:ascii="宋体" w:hAnsi="宋体" w:cs="宋体"/>
          <w:bCs/>
          <w:sz w:val="24"/>
          <w:highlight w:val="none"/>
          <w:lang w:val="en-US" w:eastAsia="zh-CN"/>
        </w:rPr>
        <w:t>可能导致投资者投资本金及收益损失</w:t>
      </w:r>
      <w:r>
        <w:rPr>
          <w:rFonts w:hint="eastAsia" w:ascii="宋体" w:hAnsi="宋体" w:cs="宋体"/>
          <w:bCs/>
          <w:sz w:val="24"/>
          <w:highlight w:val="none"/>
          <w:lang w:val="en-US" w:eastAsia="zh-CN"/>
        </w:rPr>
        <w:t>或延期兑付</w:t>
      </w:r>
      <w:r>
        <w:rPr>
          <w:rFonts w:hint="default" w:ascii="宋体" w:hAnsi="宋体" w:cs="宋体"/>
          <w:bCs/>
          <w:sz w:val="24"/>
          <w:highlight w:val="none"/>
          <w:lang w:val="en-US" w:eastAsia="zh-CN"/>
        </w:rPr>
        <w:t>的所有因素</w:t>
      </w:r>
      <w:r>
        <w:rPr>
          <w:rFonts w:hint="eastAsia" w:ascii="宋体" w:hAnsi="宋体" w:cs="宋体"/>
          <w:bCs/>
          <w:sz w:val="24"/>
          <w:highlight w:val="none"/>
          <w:lang w:val="en-US" w:eastAsia="zh-CN"/>
        </w:rPr>
        <w:t>。管理人会进行标的的分散化投资并结合对各类标的资产的预期流动性合理进行资产配置，最大程度防范流动性风险。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p>
    <w:p>
      <w:pPr>
        <w:numPr>
          <w:ilvl w:val="0"/>
          <w:numId w:val="28"/>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29"/>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托管人</w:t>
      </w:r>
    </w:p>
    <w:tbl>
      <w:tblPr>
        <w:tblStyle w:val="11"/>
        <w:tblW w:w="8263"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0"/>
        <w:gridCol w:w="6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2030" w:type="dxa"/>
            <w:noWrap w:val="0"/>
            <w:vAlign w:val="center"/>
          </w:tcPr>
          <w:p>
            <w:pPr>
              <w:spacing w:line="240" w:lineRule="auto"/>
              <w:jc w:val="center"/>
              <w:rPr>
                <w:rFonts w:ascii="宋体" w:hAnsi="宋体" w:cs="宋体"/>
                <w:bCs/>
                <w:sz w:val="21"/>
                <w:szCs w:val="18"/>
                <w:highlight w:val="none"/>
              </w:rPr>
            </w:pPr>
            <w:r>
              <w:rPr>
                <w:rFonts w:hint="eastAsia" w:ascii="宋体" w:hAnsi="宋体" w:cs="宋体"/>
                <w:bCs/>
                <w:sz w:val="21"/>
                <w:szCs w:val="18"/>
                <w:highlight w:val="none"/>
              </w:rPr>
              <w:t>托管人名称</w:t>
            </w:r>
          </w:p>
        </w:tc>
        <w:tc>
          <w:tcPr>
            <w:tcW w:w="6233" w:type="dxa"/>
            <w:noWrap w:val="0"/>
            <w:vAlign w:val="top"/>
          </w:tcPr>
          <w:p>
            <w:pPr>
              <w:spacing w:line="240" w:lineRule="auto"/>
              <w:jc w:val="left"/>
              <w:rPr>
                <w:rFonts w:ascii="宋体" w:hAnsi="宋体" w:cs="宋体"/>
                <w:bCs/>
                <w:sz w:val="21"/>
                <w:szCs w:val="18"/>
                <w:highlight w:val="none"/>
              </w:rPr>
            </w:pPr>
            <w:r>
              <w:rPr>
                <w:rFonts w:hint="eastAsia" w:ascii="宋体" w:hAnsi="宋体" w:cs="宋体"/>
                <w:bCs/>
                <w:sz w:val="21"/>
                <w:szCs w:val="18"/>
                <w:highlight w:val="none"/>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2030" w:type="dxa"/>
            <w:noWrap w:val="0"/>
            <w:vAlign w:val="center"/>
          </w:tcPr>
          <w:p>
            <w:pPr>
              <w:spacing w:line="240" w:lineRule="auto"/>
              <w:jc w:val="center"/>
              <w:rPr>
                <w:rFonts w:ascii="宋体" w:hAnsi="宋体" w:cs="宋体"/>
                <w:bCs/>
                <w:sz w:val="21"/>
                <w:szCs w:val="18"/>
                <w:highlight w:val="none"/>
              </w:rPr>
            </w:pPr>
            <w:r>
              <w:rPr>
                <w:rFonts w:hint="eastAsia" w:ascii="宋体" w:hAnsi="宋体" w:cs="宋体"/>
                <w:bCs/>
                <w:sz w:val="21"/>
                <w:szCs w:val="18"/>
                <w:highlight w:val="none"/>
              </w:rPr>
              <w:t>托管人住所</w:t>
            </w:r>
          </w:p>
        </w:tc>
        <w:tc>
          <w:tcPr>
            <w:tcW w:w="6233" w:type="dxa"/>
            <w:noWrap w:val="0"/>
            <w:vAlign w:val="top"/>
          </w:tcPr>
          <w:p>
            <w:pPr>
              <w:spacing w:line="240" w:lineRule="auto"/>
              <w:jc w:val="left"/>
              <w:rPr>
                <w:rFonts w:hint="eastAsia" w:ascii="宋体" w:hAnsi="宋体" w:cs="宋体"/>
                <w:bCs/>
                <w:sz w:val="21"/>
                <w:szCs w:val="18"/>
                <w:highlight w:val="none"/>
              </w:rPr>
            </w:pPr>
            <w:r>
              <w:rPr>
                <w:rFonts w:hint="eastAsia" w:ascii="宋体" w:hAnsi="宋体" w:cs="宋体"/>
                <w:bCs/>
                <w:sz w:val="21"/>
                <w:szCs w:val="18"/>
                <w:highlight w:val="none"/>
                <w:lang w:eastAsia="zh-CN"/>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2030" w:type="dxa"/>
            <w:noWrap w:val="0"/>
            <w:vAlign w:val="center"/>
          </w:tcPr>
          <w:p>
            <w:pPr>
              <w:spacing w:line="240" w:lineRule="auto"/>
              <w:jc w:val="center"/>
              <w:rPr>
                <w:rFonts w:ascii="宋体" w:hAnsi="宋体" w:cs="宋体"/>
                <w:bCs/>
                <w:sz w:val="21"/>
                <w:szCs w:val="18"/>
                <w:highlight w:val="none"/>
              </w:rPr>
            </w:pPr>
            <w:r>
              <w:rPr>
                <w:rFonts w:hint="eastAsia" w:ascii="宋体" w:hAnsi="宋体" w:cs="宋体"/>
                <w:bCs/>
                <w:sz w:val="21"/>
                <w:szCs w:val="18"/>
                <w:highlight w:val="none"/>
              </w:rPr>
              <w:t>托管人职责</w:t>
            </w:r>
          </w:p>
        </w:tc>
        <w:tc>
          <w:tcPr>
            <w:tcW w:w="6233" w:type="dxa"/>
            <w:noWrap w:val="0"/>
            <w:vAlign w:val="top"/>
          </w:tcPr>
          <w:p>
            <w:pPr>
              <w:spacing w:line="240" w:lineRule="auto"/>
              <w:jc w:val="left"/>
              <w:rPr>
                <w:rFonts w:hint="eastAsia" w:ascii="宋体" w:hAnsi="宋体" w:cs="宋体"/>
                <w:bCs/>
                <w:sz w:val="21"/>
                <w:szCs w:val="18"/>
                <w:highlight w:val="none"/>
              </w:rPr>
            </w:pPr>
            <w:r>
              <w:rPr>
                <w:rFonts w:hint="eastAsia" w:ascii="宋体" w:hAnsi="宋体" w:cs="宋体"/>
                <w:bCs/>
                <w:sz w:val="21"/>
                <w:szCs w:val="18"/>
                <w:highlight w:val="none"/>
              </w:rPr>
              <w:t>主要提供包括账户开立、资金保管、资金结算、估值核对等理财产品托管服务。</w:t>
            </w:r>
          </w:p>
        </w:tc>
      </w:tr>
    </w:tbl>
    <w:p>
      <w:pPr>
        <w:numPr>
          <w:ilvl w:val="0"/>
          <w:numId w:val="3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销售机构</w:t>
      </w:r>
    </w:p>
    <w:tbl>
      <w:tblPr>
        <w:tblStyle w:val="11"/>
        <w:tblW w:w="8306"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688"/>
        <w:gridCol w:w="1325"/>
        <w:gridCol w:w="3875"/>
      </w:tblGrid>
      <w:tr>
        <w:tblPrEx>
          <w:tblLayout w:type="fixed"/>
          <w:tblCellMar>
            <w:top w:w="0" w:type="dxa"/>
            <w:left w:w="108" w:type="dxa"/>
            <w:bottom w:w="0" w:type="dxa"/>
            <w:right w:w="108" w:type="dxa"/>
          </w:tblCellMar>
        </w:tblPrEx>
        <w:trPr>
          <w:trHeight w:val="340" w:hRule="atLeast"/>
        </w:trPr>
        <w:tc>
          <w:tcPr>
            <w:tcW w:w="1418" w:type="dxa"/>
            <w:vMerge w:val="restart"/>
            <w:noWrap w:val="0"/>
            <w:vAlign w:val="center"/>
          </w:tcPr>
          <w:p>
            <w:pPr>
              <w:spacing w:line="24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销售机构</w:t>
            </w:r>
            <w:r>
              <w:rPr>
                <w:rFonts w:hint="eastAsia" w:ascii="宋体" w:hAnsi="宋体" w:eastAsia="宋体" w:cs="宋体"/>
                <w:bCs/>
                <w:sz w:val="21"/>
                <w:szCs w:val="21"/>
                <w:highlight w:val="none"/>
                <w:lang w:val="en-US" w:eastAsia="zh-CN"/>
              </w:rPr>
              <w:t>信息</w:t>
            </w: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杭州银行股份有限公司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cs="宋体"/>
                <w:bCs/>
                <w:sz w:val="21"/>
                <w:szCs w:val="18"/>
                <w:highlight w:val="none"/>
                <w:lang w:eastAsia="zh-CN"/>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兴业银行股份有限公司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福建省福州市台江区江滨中大道398号兴业银行大厦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95561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江苏银行股份有限公司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江苏省南京市中华路26号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厦门银行股份有限公司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厦门市思明区湖滨北路101号商业银行大厦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400-858-8888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厦门国际银行股份有限公司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厦门市思明区鹭江道8-10号国际银行大厦1-6层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400-1623-623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富邦华一银行有限公司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中国(上海)自由贸易试验区世纪大道1168号A座101室、18楼、19楼及20楼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8621—962811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宁波鄞州农村商业银行股份有限公司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浙江省宁波市鄞州区民惠西路88号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956058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深圳前海微众银行股份有限公司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广东省深圳市南山区沙河西路1819号深圳湾科技生态园7栋A座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吉林亿联银行股份有限公司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吉林省长春市南关区人民大街10606号东北亚国际金融中心一期北楼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95396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重庆富民银行股份有限公司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重庆市渝北区财富东路2号涉外商务区一期B1栋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4008－108－999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中信百信银行股份有限公司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北京市朝阳区安定路5号院3号楼8层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956186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aps w:val="0"/>
                <w:color w:val="000000"/>
                <w:spacing w:val="0"/>
                <w:kern w:val="0"/>
                <w:sz w:val="21"/>
                <w:szCs w:val="21"/>
                <w:u w:val="none"/>
                <w:lang w:bidi="ar"/>
              </w:rPr>
              <w:t>江苏苏商银行股份有限公司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南京市建邺区庐山路248号4号楼7、8、9、27、28、29层，4号楼裙楼第1、2层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bCs/>
                <w:i w:val="0"/>
                <w:caps w:val="0"/>
                <w:color w:val="auto"/>
                <w:spacing w:val="0"/>
                <w:sz w:val="21"/>
                <w:szCs w:val="21"/>
                <w:highlight w:val="none"/>
              </w:rPr>
              <w:t>956101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石嘴山银行股份有限公司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宁夏回族自治区石嘴山市大武口区朝阳西街39号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0951-96789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中信银行股份有限公司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齐鲁银行股份有限公司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山东省济南市历下区经十路10817号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400-609-6588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广东南粤银行股份有限公司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湛江经济技术开发区乐山路27号财富汇金融中心1层01、02号商铺、2层01号商铺、3层01号商铺、39-45层办公室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4000-961818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东莞银行股份有限公司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东莞市莞城区体育路21号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956033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日照银行股份有限公司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日照市烟台路197号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400-68-96588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苏州银行股份有限公司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江苏省苏州工业园区钟园路728号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96067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杭银理财有限责任公司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浙江省杭州市拱墅区庆春路38号金龙财富中心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400-8950-999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澳门国际银行股份有限公司广州分行</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广州市天河区珠江新城华夏路8号合景国际金融广场1层104房、34层3401房、35层3501房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020-28089999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江苏常熟农村商业银行股份有限公司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江苏省常熟市新世纪大道58号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956020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浙商银行股份有限公司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浙江省杭州市萧山区鸿宁路1788号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95527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九江银行股份有限公司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江西省九江市濂溪区长虹大道619号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95316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北京农村商业银行股份有限公司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北京市西城区月坛南街1号院2号楼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96198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2"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浙江舟山定海海洋农村商业银行股份有限公司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浙江省舟山市定海区环城东路81号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0580-2030956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浙江临安农村商业银行股份有限公司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浙江省杭州市临安区钱王街821号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0571-61105831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浙江青田农村商业银行股份有限公司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浙江省丽水市青田县鹤城街道鹤城东路180号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0578-6833720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南洋商业银行（中国）有限公司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上海市浦明路898号13层至16层、18层至20层</w:t>
            </w:r>
          </w:p>
        </w:tc>
      </w:tr>
      <w:tr>
        <w:tblPrEx>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95327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中邮邮惠万家银行有限责任公司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上海市虹口区东大名路1080号25层、26层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cs="宋体"/>
                <w:i w:val="0"/>
                <w:color w:val="000000"/>
                <w:kern w:val="0"/>
                <w:sz w:val="21"/>
                <w:szCs w:val="21"/>
                <w:u w:val="none"/>
                <w:lang w:val="en-US" w:eastAsia="zh-CN" w:bidi="ar"/>
              </w:rPr>
              <w:t>95504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温州银行股份有限公司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浙江省温州市鹿城区会展路1316号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0577-96699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浙江新昌农村商业银行股份有限公司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浙江省新昌县七星街道七星路18号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浙江永嘉农村商业银行股份有限公司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浙江省永嘉县瓯北镇阳光大道3918号永嘉农商银行总行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4008057705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浙江永康农村商业银行股份有限公司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浙江省永康市九铃东路3259号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绍兴银行股份有限公司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浙江省绍兴市越城区中兴南路1号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4000896528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浙江衢州衢江农村商业银行股份有限公司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浙江省衢州市衢江区信安东路37号衢江农商银行6楼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0570-3026608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新韩银行（中国）有限公司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北京市朝阳区工体北路甲6号中宇大厦12层，11层1101，1102及1109单元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400 6688 600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浙江开化农村商业银行股份有限公司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浙江开化县芹阳办事处永吉二路8号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0570-6025125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秦皇岛银行股份有限公司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河北省秦皇岛市海港区河北大街西段560号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0335-96336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潍坊银行股份有限公司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山东省潍坊市胜利东街5139号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400-61-96588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浙江江山农村商业银行股份有限公司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浙江省江山市江滨路188号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浙江常山农村商业银行股份有限公司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浙江省衢州市常山县紫港街道文教东路258号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浙江武义农村商业银行股份有限公司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浙江省金华市武义县武阳中路37号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0579-87663486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jc w:val="center"/>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浙江网商银行股份有限公司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浙江省杭州市西湖区古荡街道西溪路556号阿里中心D幢9层、E幢3-8层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0571-26888888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销售机构职责</w:t>
            </w:r>
          </w:p>
        </w:tc>
        <w:tc>
          <w:tcPr>
            <w:tcW w:w="6888" w:type="dxa"/>
            <w:gridSpan w:val="3"/>
            <w:noWrap w:val="0"/>
            <w:vAlign w:val="center"/>
          </w:tcPr>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rPr>
              <w:t>主要负责理财计划推广、投资者风险承受能力评估、投资者适当性管理、理财计划份额认购、申购及赎回办理。</w:t>
            </w:r>
            <w:r>
              <w:rPr>
                <w:rFonts w:hint="eastAsia" w:ascii="宋体" w:hAnsi="宋体" w:eastAsia="宋体" w:cs="宋体"/>
                <w:bCs/>
                <w:sz w:val="21"/>
                <w:szCs w:val="21"/>
                <w:highlight w:val="none"/>
              </w:rPr>
              <w:br w:type="textWrapping"/>
            </w:r>
            <w:r>
              <w:rPr>
                <w:rFonts w:hint="eastAsia" w:ascii="宋体" w:hAnsi="宋体" w:eastAsia="宋体" w:cs="宋体"/>
                <w:bCs/>
                <w:sz w:val="21"/>
                <w:szCs w:val="21"/>
                <w:highlight w:val="none"/>
              </w:rPr>
              <w:t>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本理财计划后续如新增/减少销售机构或销售机构信息变更，请以管理人最新公告或官方网站展示为准。</w:t>
      </w:r>
    </w:p>
    <w:p>
      <w:pPr>
        <w:spacing w:line="360" w:lineRule="auto"/>
        <w:jc w:val="left"/>
        <w:rPr>
          <w:rFonts w:ascii="宋体" w:hAnsi="宋体" w:cs="宋体"/>
          <w:bCs/>
          <w:sz w:val="24"/>
          <w:highlight w:val="none"/>
        </w:rPr>
      </w:pPr>
    </w:p>
    <w:p>
      <w:pPr>
        <w:numPr>
          <w:ilvl w:val="0"/>
          <w:numId w:val="28"/>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估值</w:t>
      </w:r>
    </w:p>
    <w:p>
      <w:pPr>
        <w:numPr>
          <w:ilvl w:val="0"/>
          <w:numId w:val="3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工作日</w:t>
      </w:r>
      <w:r>
        <w:rPr>
          <w:rFonts w:hint="eastAsia" w:ascii="宋体" w:hAnsi="宋体" w:cs="宋体"/>
          <w:bCs/>
          <w:color w:val="000000"/>
          <w:sz w:val="24"/>
          <w:highlight w:val="none"/>
        </w:rPr>
        <w:t>，定期由理财管理人和理财托管人核对估值结果并向投资者披露，具体日期以管理人公告为准。</w:t>
      </w:r>
    </w:p>
    <w:p>
      <w:pPr>
        <w:numPr>
          <w:ilvl w:val="0"/>
          <w:numId w:val="3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3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3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32"/>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16"/>
        <w:adjustRightInd/>
        <w:spacing w:line="360" w:lineRule="auto"/>
        <w:ind w:firstLine="480" w:firstLineChars="200"/>
        <w:rPr>
          <w:rFonts w:hint="eastAsia" w:ascii="宋体" w:hAnsi="宋体" w:eastAsia="宋体" w:cs="宋体"/>
          <w:bCs/>
          <w:kern w:val="2"/>
          <w:highlight w:val="none"/>
          <w:lang w:eastAsia="zh-CN"/>
        </w:rPr>
      </w:pPr>
      <w:r>
        <w:rPr>
          <w:rFonts w:hint="eastAsia" w:ascii="宋体" w:hAnsi="宋体" w:cs="宋体"/>
          <w:bCs/>
          <w:kern w:val="2"/>
          <w:highlight w:val="none"/>
          <w:lang w:eastAsia="zh-CN"/>
        </w:rPr>
        <w:t>银行存款</w:t>
      </w:r>
      <w:r>
        <w:rPr>
          <w:rFonts w:hint="eastAsia" w:ascii="宋体" w:hAnsi="宋体" w:cs="宋体"/>
          <w:bCs/>
          <w:kern w:val="2"/>
          <w:highlight w:val="none"/>
        </w:rPr>
        <w:t>及回购，以本金列示，按商定利率在实际持有期间内逐日计提利息。</w:t>
      </w:r>
    </w:p>
    <w:p>
      <w:pPr>
        <w:numPr>
          <w:ilvl w:val="0"/>
          <w:numId w:val="32"/>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债券及同业存单类资产，按市价法估值。市价法不能确定公允价值的，采用估值技术进行估值。</w:t>
      </w:r>
    </w:p>
    <w:p>
      <w:pPr>
        <w:numPr>
          <w:ilvl w:val="0"/>
          <w:numId w:val="32"/>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债权类资产，按市价法估值。市价法不能确定其公允价值的，采用估值技术进行估值。</w:t>
      </w:r>
    </w:p>
    <w:p>
      <w:pPr>
        <w:numPr>
          <w:ilvl w:val="0"/>
          <w:numId w:val="32"/>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33"/>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33"/>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lang w:val="en-US" w:eastAsia="zh-CN"/>
        </w:rPr>
        <w:t>1）</w:t>
      </w:r>
      <w:r>
        <w:rPr>
          <w:rFonts w:hint="eastAsia" w:ascii="宋体" w:hAnsi="宋体"/>
          <w:sz w:val="24"/>
          <w:highlight w:val="none"/>
        </w:rPr>
        <w:t>送股、转增股、配股和公开增发新股等发行未上市的股票，按估值日在证券交易所挂牌的同一股票的市价估值；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首次公开发行有明确锁定期的股票，同一股票在交易所上市后，按交易所上市的同一股票的市价估值；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首次发行未上市的股票，按发行价格进行估值；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因持有股票而享有的配股权，采用估值技术确定公允价值。</w:t>
      </w:r>
    </w:p>
    <w:p>
      <w:pPr>
        <w:numPr>
          <w:ilvl w:val="0"/>
          <w:numId w:val="33"/>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32"/>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2"/>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16"/>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16"/>
        <w:spacing w:line="360" w:lineRule="auto"/>
        <w:ind w:firstLine="480" w:firstLineChars="200"/>
        <w:rPr>
          <w:rFonts w:hint="eastAsia" w:ascii="宋体" w:hAnsi="宋体" w:cs="宋体"/>
          <w:bCs/>
          <w:color w:val="000000"/>
          <w:sz w:val="24"/>
          <w:highlight w:val="none"/>
        </w:rPr>
      </w:pPr>
      <w:r>
        <w:rPr>
          <w:rFonts w:hint="eastAsia" w:ascii="宋体" w:hAnsi="宋体" w:cs="宋体"/>
          <w:bCs/>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16"/>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kern w:val="2"/>
          <w:highlight w:val="none"/>
          <w:lang w:eastAsia="zh-CN"/>
        </w:rPr>
        <w:t>按最能反映公允价值的价格估值，</w:t>
      </w:r>
      <w:r>
        <w:rPr>
          <w:rFonts w:hint="eastAsia" w:ascii="宋体" w:hAnsi="宋体" w:cs="宋体"/>
          <w:bCs/>
          <w:kern w:val="2"/>
          <w:highlight w:val="none"/>
        </w:rPr>
        <w:t>并自协商一致日后执行。</w:t>
      </w:r>
    </w:p>
    <w:p>
      <w:pPr>
        <w:pStyle w:val="16"/>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3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34"/>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34"/>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34"/>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当</w:t>
      </w:r>
      <w:r>
        <w:rPr>
          <w:rFonts w:hint="eastAsia" w:ascii="宋体" w:hAnsi="宋体" w:cs="宋体"/>
          <w:bCs/>
          <w:color w:val="000000"/>
          <w:sz w:val="24"/>
          <w:highlight w:val="none"/>
          <w:lang w:val="en-US" w:eastAsia="zh-CN"/>
        </w:rPr>
        <w:t>前一估值日理财计划资产净值50%以上的资产不具备活跃交易市场或者在活跃市场中无报价，且不能采用估值技术可靠计量公允价值时，管理人应当暂停该理财计划估值，并按照监管规定采取</w:t>
      </w:r>
      <w:r>
        <w:rPr>
          <w:rFonts w:hint="eastAsia" w:ascii="宋体" w:hAnsi="宋体" w:cs="宋体"/>
          <w:bCs/>
          <w:color w:val="000000"/>
          <w:sz w:val="24"/>
          <w:highlight w:val="none"/>
        </w:rPr>
        <w:t>延缓支付赎回款项或暂停接受理财</w:t>
      </w:r>
      <w:r>
        <w:rPr>
          <w:rFonts w:hint="eastAsia" w:ascii="宋体" w:hAnsi="宋体" w:cs="宋体"/>
          <w:bCs/>
          <w:color w:val="000000"/>
          <w:sz w:val="24"/>
          <w:highlight w:val="none"/>
          <w:lang w:eastAsia="zh-CN"/>
        </w:rPr>
        <w:t>计划</w:t>
      </w:r>
      <w:r>
        <w:rPr>
          <w:rFonts w:hint="eastAsia" w:ascii="宋体" w:hAnsi="宋体" w:cs="宋体"/>
          <w:bCs/>
          <w:color w:val="000000"/>
          <w:sz w:val="24"/>
          <w:highlight w:val="none"/>
        </w:rPr>
        <w:t>认购、赎回申请等</w:t>
      </w:r>
      <w:r>
        <w:rPr>
          <w:rFonts w:hint="eastAsia" w:ascii="宋体" w:hAnsi="宋体" w:cs="宋体"/>
          <w:bCs/>
          <w:color w:val="000000"/>
          <w:sz w:val="24"/>
          <w:highlight w:val="none"/>
          <w:lang w:val="en-US" w:eastAsia="zh-CN"/>
        </w:rPr>
        <w:t>措施。</w:t>
      </w:r>
    </w:p>
    <w:p>
      <w:pPr>
        <w:numPr>
          <w:ilvl w:val="0"/>
          <w:numId w:val="34"/>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3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28"/>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费用及税收</w:t>
      </w:r>
    </w:p>
    <w:p>
      <w:pPr>
        <w:numPr>
          <w:ilvl w:val="0"/>
          <w:numId w:val="35"/>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、托管费、固定管理费、认购费、申购费、赎回费、浮动管理费以及理财计划运作和清算中产生的其他费用等。</w:t>
      </w:r>
    </w:p>
    <w:p>
      <w:pPr>
        <w:numPr>
          <w:ilvl w:val="0"/>
          <w:numId w:val="35"/>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36"/>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lang w:eastAsia="zh-CN"/>
        </w:rPr>
        <w:t>销售服务费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〗年化</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率为</w:t>
      </w:r>
      <w:r>
        <w:rPr>
          <w:rFonts w:hint="eastAsia" w:ascii="宋体" w:hAnsi="宋体" w:cs="宋体"/>
          <w:szCs w:val="21"/>
          <w:highlight w:val="none"/>
        </w:rPr>
        <w:t>〖</w:t>
      </w:r>
      <w:r>
        <w:rPr>
          <w:rFonts w:hint="eastAsia" w:ascii="宋体" w:hAnsi="宋体" w:cs="宋体"/>
          <w:szCs w:val="21"/>
          <w:highlight w:val="none"/>
          <w:lang w:val="en-US" w:eastAsia="zh-CN"/>
        </w:rPr>
        <w:t>0.30</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B份额</w:t>
      </w:r>
      <w:r>
        <w:rPr>
          <w:rFonts w:hint="eastAsia" w:ascii="宋体" w:hAnsi="宋体" w:cs="宋体"/>
          <w:bCs/>
          <w:color w:val="000000"/>
          <w:sz w:val="24"/>
          <w:highlight w:val="none"/>
        </w:rPr>
        <w:t>〗年化</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率为</w:t>
      </w:r>
      <w:r>
        <w:rPr>
          <w:rFonts w:hint="eastAsia" w:ascii="宋体" w:hAnsi="宋体" w:cs="宋体"/>
          <w:szCs w:val="21"/>
          <w:highlight w:val="none"/>
        </w:rPr>
        <w:t>〖</w:t>
      </w:r>
      <w:r>
        <w:rPr>
          <w:rFonts w:hint="eastAsia" w:ascii="宋体" w:hAnsi="宋体" w:cs="宋体"/>
          <w:szCs w:val="21"/>
          <w:highlight w:val="none"/>
          <w:lang w:val="en-US" w:eastAsia="zh-CN"/>
        </w:rPr>
        <w:t>0.20</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szCs w:val="21"/>
          <w:highlight w:val="none"/>
          <w:lang w:eastAsia="zh-CN"/>
        </w:rPr>
        <w:t>，</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W份额</w:t>
      </w:r>
      <w:r>
        <w:rPr>
          <w:rFonts w:hint="eastAsia" w:ascii="宋体" w:hAnsi="宋体" w:cs="宋体"/>
          <w:bCs/>
          <w:color w:val="000000"/>
          <w:sz w:val="24"/>
          <w:highlight w:val="none"/>
        </w:rPr>
        <w:t>〗年化</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率为</w:t>
      </w:r>
      <w:r>
        <w:rPr>
          <w:rFonts w:hint="eastAsia" w:ascii="宋体" w:hAnsi="宋体" w:cs="宋体"/>
          <w:szCs w:val="21"/>
          <w:highlight w:val="none"/>
        </w:rPr>
        <w:t>〖</w:t>
      </w:r>
      <w:r>
        <w:rPr>
          <w:rFonts w:hint="eastAsia" w:ascii="宋体" w:hAnsi="宋体" w:cs="宋体"/>
          <w:szCs w:val="21"/>
          <w:highlight w:val="none"/>
          <w:lang w:val="en-US" w:eastAsia="zh-CN"/>
        </w:rPr>
        <w:t>0.40</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szCs w:val="21"/>
          <w:highlight w:val="none"/>
          <w:lang w:eastAsia="zh-CN"/>
        </w:rPr>
        <w:t>。</w:t>
      </w:r>
      <w:r>
        <w:rPr>
          <w:rFonts w:hint="eastAsia" w:ascii="宋体" w:hAnsi="宋体" w:cs="宋体"/>
          <w:bCs/>
          <w:color w:val="000000"/>
          <w:sz w:val="24"/>
          <w:highlight w:val="none"/>
          <w:lang w:val="en-US" w:eastAsia="zh-CN"/>
        </w:rPr>
        <w:t>以</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〗为例</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szCs w:val="21"/>
          <w:highlight w:val="none"/>
        </w:rPr>
        <w:t>〖</w:t>
      </w:r>
      <w:r>
        <w:rPr>
          <w:rFonts w:hint="eastAsia" w:ascii="宋体" w:hAnsi="宋体" w:cs="宋体"/>
          <w:szCs w:val="21"/>
          <w:highlight w:val="none"/>
          <w:lang w:val="en-US" w:eastAsia="zh-CN"/>
        </w:rPr>
        <w:t>0.30</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eastAsia="宋体" w:cs="宋体"/>
          <w:bCs/>
          <w:color w:val="000000"/>
          <w:sz w:val="24"/>
          <w:highlight w:val="none"/>
          <w:lang w:eastAsia="zh-CN"/>
        </w:rPr>
      </w:pPr>
      <w:r>
        <w:rPr>
          <w:rFonts w:hint="eastAsia" w:ascii="宋体" w:hAnsi="宋体" w:cs="宋体"/>
          <w:bCs/>
          <w:color w:val="000000"/>
          <w:sz w:val="24"/>
          <w:highlight w:val="none"/>
        </w:rPr>
        <w:t>H为〖</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〗每日应计提的</w:t>
      </w:r>
      <w:r>
        <w:rPr>
          <w:rFonts w:hint="eastAsia" w:ascii="宋体" w:hAnsi="宋体" w:cs="宋体"/>
          <w:bCs/>
          <w:color w:val="000000"/>
          <w:sz w:val="24"/>
          <w:highlight w:val="none"/>
          <w:lang w:eastAsia="zh-CN"/>
        </w:rPr>
        <w:t>销售服务费</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highlight w:val="none"/>
        </w:rPr>
        <w:t>E为〖</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原则上按日计提。</w:t>
      </w:r>
    </w:p>
    <w:p>
      <w:pPr>
        <w:numPr>
          <w:ilvl w:val="0"/>
          <w:numId w:val="36"/>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szCs w:val="21"/>
          <w:highlight w:val="none"/>
        </w:rPr>
        <w:t>〖</w:t>
      </w:r>
      <w:r>
        <w:rPr>
          <w:rFonts w:hint="eastAsia" w:ascii="宋体" w:hAnsi="宋体" w:cs="宋体"/>
          <w:szCs w:val="21"/>
          <w:highlight w:val="none"/>
          <w:lang w:val="en-US" w:eastAsia="zh-CN"/>
        </w:rPr>
        <w:t>0.025</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szCs w:val="21"/>
          <w:highlight w:val="none"/>
        </w:rPr>
        <w:t>〖</w:t>
      </w:r>
      <w:r>
        <w:rPr>
          <w:rFonts w:hint="eastAsia" w:ascii="宋体" w:hAnsi="宋体" w:cs="宋体"/>
          <w:szCs w:val="21"/>
          <w:highlight w:val="none"/>
          <w:lang w:val="en-US" w:eastAsia="zh-CN"/>
        </w:rPr>
        <w:t>0.025</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托管费原则上按日计提。</w:t>
      </w:r>
    </w:p>
    <w:p>
      <w:pPr>
        <w:numPr>
          <w:ilvl w:val="0"/>
          <w:numId w:val="36"/>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〗年化固定管理费率为</w:t>
      </w:r>
      <w:r>
        <w:rPr>
          <w:rFonts w:hint="eastAsia" w:ascii="宋体" w:hAnsi="宋体" w:cs="宋体"/>
          <w:szCs w:val="21"/>
          <w:highlight w:val="none"/>
        </w:rPr>
        <w:t>〖</w:t>
      </w:r>
      <w:r>
        <w:rPr>
          <w:rFonts w:hint="eastAsia" w:ascii="宋体" w:hAnsi="宋体" w:cs="宋体"/>
          <w:szCs w:val="21"/>
          <w:highlight w:val="none"/>
          <w:lang w:val="en-US" w:eastAsia="zh-CN"/>
        </w:rPr>
        <w:t>0.30</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B份额</w:t>
      </w:r>
      <w:r>
        <w:rPr>
          <w:rFonts w:hint="eastAsia" w:ascii="宋体" w:hAnsi="宋体" w:cs="宋体"/>
          <w:bCs/>
          <w:color w:val="000000"/>
          <w:sz w:val="24"/>
          <w:highlight w:val="none"/>
        </w:rPr>
        <w:t>〗年化固定管理费率为</w:t>
      </w:r>
      <w:r>
        <w:rPr>
          <w:rFonts w:hint="eastAsia" w:ascii="宋体" w:hAnsi="宋体" w:cs="宋体"/>
          <w:szCs w:val="21"/>
          <w:highlight w:val="none"/>
        </w:rPr>
        <w:t>〖</w:t>
      </w:r>
      <w:r>
        <w:rPr>
          <w:rFonts w:hint="eastAsia" w:ascii="宋体" w:hAnsi="宋体" w:cs="宋体"/>
          <w:szCs w:val="21"/>
          <w:highlight w:val="none"/>
          <w:lang w:val="en-US" w:eastAsia="zh-CN"/>
        </w:rPr>
        <w:t>0.30</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szCs w:val="21"/>
          <w:highlight w:val="none"/>
          <w:lang w:eastAsia="zh-CN"/>
        </w:rPr>
        <w:t>，</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W份额</w:t>
      </w:r>
      <w:r>
        <w:rPr>
          <w:rFonts w:hint="eastAsia" w:ascii="宋体" w:hAnsi="宋体" w:cs="宋体"/>
          <w:bCs/>
          <w:color w:val="000000"/>
          <w:sz w:val="24"/>
          <w:highlight w:val="none"/>
        </w:rPr>
        <w:t>〗年化固定管理费率为</w:t>
      </w:r>
      <w:r>
        <w:rPr>
          <w:rFonts w:hint="eastAsia" w:ascii="宋体" w:hAnsi="宋体" w:cs="宋体"/>
          <w:szCs w:val="21"/>
          <w:highlight w:val="none"/>
        </w:rPr>
        <w:t>〖</w:t>
      </w:r>
      <w:r>
        <w:rPr>
          <w:rFonts w:hint="eastAsia" w:ascii="宋体" w:hAnsi="宋体" w:cs="宋体"/>
          <w:szCs w:val="21"/>
          <w:highlight w:val="none"/>
          <w:lang w:val="en-US" w:eastAsia="zh-CN"/>
        </w:rPr>
        <w:t>0.20</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szCs w:val="21"/>
          <w:highlight w:val="none"/>
          <w:lang w:eastAsia="zh-CN"/>
        </w:rPr>
        <w:t>。</w:t>
      </w:r>
      <w:r>
        <w:rPr>
          <w:rFonts w:hint="eastAsia" w:ascii="宋体" w:hAnsi="宋体" w:cs="宋体"/>
          <w:bCs/>
          <w:color w:val="000000"/>
          <w:sz w:val="24"/>
          <w:highlight w:val="none"/>
          <w:lang w:val="en-US" w:eastAsia="zh-CN"/>
        </w:rPr>
        <w:t>以</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〗为例</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szCs w:val="21"/>
          <w:highlight w:val="none"/>
        </w:rPr>
        <w:t>〖</w:t>
      </w:r>
      <w:r>
        <w:rPr>
          <w:rFonts w:hint="eastAsia" w:ascii="宋体" w:hAnsi="宋体" w:cs="宋体"/>
          <w:szCs w:val="21"/>
          <w:highlight w:val="none"/>
          <w:lang w:val="en-US" w:eastAsia="zh-CN"/>
        </w:rPr>
        <w:t>0.30</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〗每日应计提的</w:t>
      </w:r>
      <w:r>
        <w:rPr>
          <w:rFonts w:hint="eastAsia" w:ascii="宋体" w:hAnsi="宋体" w:cs="宋体"/>
          <w:bCs/>
          <w:color w:val="000000"/>
          <w:sz w:val="24"/>
          <w:highlight w:val="none"/>
          <w:lang w:val="en-US" w:eastAsia="zh-CN"/>
        </w:rPr>
        <w:t>固定</w:t>
      </w:r>
      <w:r>
        <w:rPr>
          <w:rFonts w:hint="eastAsia" w:ascii="宋体" w:hAnsi="宋体" w:cs="宋体"/>
          <w:bCs/>
          <w:color w:val="000000"/>
          <w:sz w:val="24"/>
          <w:highlight w:val="none"/>
        </w:rPr>
        <w:t>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〗前一日资产净值</w:t>
      </w:r>
    </w:p>
    <w:p>
      <w:pPr>
        <w:spacing w:line="360" w:lineRule="auto"/>
        <w:ind w:firstLine="480" w:firstLineChars="200"/>
        <w:jc w:val="left"/>
        <w:rPr>
          <w:rFonts w:hint="eastAsia" w:ascii="宋体" w:hAnsi="宋体" w:eastAsia="宋体" w:cs="宋体"/>
          <w:bCs/>
          <w:color w:val="000000"/>
          <w:sz w:val="24"/>
          <w:highlight w:val="none"/>
          <w:lang w:eastAsia="zh-CN"/>
        </w:rPr>
      </w:pPr>
      <w:r>
        <w:rPr>
          <w:rFonts w:hint="eastAsia" w:ascii="宋体" w:hAnsi="宋体" w:cs="宋体"/>
          <w:bCs/>
          <w:color w:val="000000"/>
          <w:sz w:val="24"/>
          <w:highlight w:val="none"/>
        </w:rPr>
        <w:t>固定管理费原则上按日计提</w:t>
      </w:r>
      <w:r>
        <w:rPr>
          <w:rFonts w:hint="eastAsia" w:ascii="宋体" w:hAnsi="宋体" w:cs="宋体"/>
          <w:bCs/>
          <w:color w:val="000000"/>
          <w:sz w:val="24"/>
          <w:highlight w:val="none"/>
          <w:lang w:eastAsia="zh-CN"/>
        </w:rPr>
        <w:t>，如理财计划实际运作结果不达业绩比较基准下限时，管理人有权减免固定管理费。</w:t>
      </w:r>
    </w:p>
    <w:p>
      <w:pPr>
        <w:numPr>
          <w:ilvl w:val="0"/>
          <w:numId w:val="36"/>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highlight w:val="none"/>
        </w:rPr>
        <w:t>本理财计划免除认购费。</w:t>
      </w:r>
    </w:p>
    <w:p>
      <w:pPr>
        <w:numPr>
          <w:ilvl w:val="0"/>
          <w:numId w:val="37"/>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申购费</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本理财计划免除申购费。</w:t>
      </w:r>
    </w:p>
    <w:p>
      <w:pPr>
        <w:numPr>
          <w:ilvl w:val="0"/>
          <w:numId w:val="37"/>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赎回费</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本理财计划免除赎回费。</w:t>
      </w:r>
    </w:p>
    <w:p>
      <w:pPr>
        <w:numPr>
          <w:ilvl w:val="0"/>
          <w:numId w:val="38"/>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浮动管理费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理财管理人根据理财计划投资情况计算浮动管理费，本理财计划</w:t>
      </w:r>
      <w:r>
        <w:rPr>
          <w:rFonts w:hint="eastAsia" w:ascii="宋体" w:hAnsi="宋体" w:cs="宋体"/>
          <w:bCs/>
          <w:color w:val="000000"/>
          <w:sz w:val="24"/>
          <w:highlight w:val="none"/>
          <w:lang w:val="en-US" w:eastAsia="zh-CN"/>
        </w:rPr>
        <w:t>份额</w:t>
      </w:r>
      <w:r>
        <w:rPr>
          <w:rFonts w:hint="eastAsia" w:ascii="宋体" w:hAnsi="宋体" w:cs="宋体"/>
          <w:bCs/>
          <w:color w:val="000000"/>
          <w:sz w:val="24"/>
          <w:highlight w:val="none"/>
        </w:rPr>
        <w:t>投资周期的</w:t>
      </w:r>
      <w:r>
        <w:rPr>
          <w:rFonts w:hint="eastAsia" w:ascii="宋体" w:hAnsi="宋体" w:cs="宋体"/>
          <w:szCs w:val="21"/>
          <w:highlight w:val="none"/>
        </w:rPr>
        <w:t>〖</w:t>
      </w:r>
      <w:r>
        <w:rPr>
          <w:rFonts w:hint="eastAsia" w:ascii="宋体" w:hAnsi="宋体" w:cs="宋体"/>
          <w:bCs/>
          <w:color w:val="000000"/>
          <w:sz w:val="24"/>
          <w:highlight w:val="none"/>
        </w:rPr>
        <w:t>折合年化收益率超过</w:t>
      </w:r>
      <w:r>
        <w:rPr>
          <w:rFonts w:hint="eastAsia" w:ascii="宋体" w:hAnsi="宋体" w:cs="宋体"/>
          <w:bCs/>
          <w:color w:val="000000"/>
          <w:sz w:val="24"/>
          <w:highlight w:val="none"/>
          <w:lang w:val="en-US" w:eastAsia="zh-CN"/>
        </w:rPr>
        <w:t>业绩比较基准上限</w:t>
      </w:r>
      <w:r>
        <w:rPr>
          <w:rFonts w:hint="eastAsia" w:ascii="宋体" w:hAnsi="宋体" w:cs="宋体"/>
          <w:szCs w:val="21"/>
          <w:highlight w:val="none"/>
        </w:rPr>
        <w:t>〗</w:t>
      </w:r>
      <w:r>
        <w:rPr>
          <w:rFonts w:hint="eastAsia" w:ascii="宋体" w:hAnsi="宋体" w:cs="宋体"/>
          <w:bCs/>
          <w:color w:val="000000"/>
          <w:sz w:val="24"/>
          <w:highlight w:val="none"/>
        </w:rPr>
        <w:t>的部分管理人提取</w:t>
      </w:r>
      <w:r>
        <w:rPr>
          <w:rFonts w:hint="eastAsia" w:ascii="宋体" w:hAnsi="宋体" w:cs="宋体"/>
          <w:szCs w:val="21"/>
          <w:highlight w:val="none"/>
        </w:rPr>
        <w:t>〖</w:t>
      </w:r>
      <w:r>
        <w:rPr>
          <w:rFonts w:hint="eastAsia" w:ascii="宋体" w:hAnsi="宋体" w:cs="宋体"/>
          <w:szCs w:val="21"/>
          <w:highlight w:val="none"/>
          <w:lang w:val="en-US" w:eastAsia="zh-CN"/>
        </w:rPr>
        <w:t>50</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bCs/>
          <w:color w:val="000000"/>
          <w:sz w:val="24"/>
          <w:highlight w:val="none"/>
        </w:rPr>
        <w:t>作为浮动管理费，每个投资周期结束后收取。本理财计划</w:t>
      </w:r>
      <w:r>
        <w:rPr>
          <w:rFonts w:hint="eastAsia" w:ascii="宋体" w:hAnsi="宋体" w:cs="宋体"/>
          <w:bCs/>
          <w:color w:val="000000"/>
          <w:sz w:val="24"/>
          <w:highlight w:val="none"/>
          <w:lang w:val="en-US" w:eastAsia="zh-CN"/>
        </w:rPr>
        <w:t>份额</w:t>
      </w:r>
      <w:r>
        <w:rPr>
          <w:rFonts w:hint="eastAsia" w:ascii="宋体" w:hAnsi="宋体" w:cs="宋体"/>
          <w:bCs/>
          <w:color w:val="000000"/>
          <w:sz w:val="24"/>
          <w:highlight w:val="none"/>
        </w:rPr>
        <w:t>投资周期的</w:t>
      </w:r>
      <w:r>
        <w:rPr>
          <w:rFonts w:hint="eastAsia" w:ascii="宋体" w:hAnsi="宋体" w:cs="宋体"/>
          <w:szCs w:val="21"/>
          <w:highlight w:val="none"/>
        </w:rPr>
        <w:t>〖</w:t>
      </w:r>
      <w:r>
        <w:rPr>
          <w:rFonts w:hint="eastAsia" w:ascii="宋体" w:hAnsi="宋体" w:cs="宋体"/>
          <w:bCs/>
          <w:color w:val="000000"/>
          <w:sz w:val="24"/>
          <w:highlight w:val="none"/>
        </w:rPr>
        <w:t>折合年化收益率若小于或等于</w:t>
      </w:r>
      <w:r>
        <w:rPr>
          <w:rFonts w:hint="eastAsia" w:ascii="宋体" w:hAnsi="宋体" w:cs="宋体"/>
          <w:bCs/>
          <w:color w:val="000000"/>
          <w:sz w:val="24"/>
          <w:highlight w:val="none"/>
          <w:lang w:val="en-US" w:eastAsia="zh-CN"/>
        </w:rPr>
        <w:t>业绩比较基准上限</w:t>
      </w:r>
      <w:r>
        <w:rPr>
          <w:rFonts w:hint="eastAsia" w:ascii="宋体" w:hAnsi="宋体" w:cs="宋体"/>
          <w:szCs w:val="21"/>
          <w:highlight w:val="none"/>
        </w:rPr>
        <w:t>〗</w:t>
      </w:r>
      <w:r>
        <w:rPr>
          <w:rFonts w:hint="eastAsia" w:ascii="宋体" w:hAnsi="宋体" w:cs="宋体"/>
          <w:bCs/>
          <w:color w:val="000000"/>
          <w:sz w:val="24"/>
          <w:highlight w:val="none"/>
        </w:rPr>
        <w:t>则不收取浮动管理费。</w:t>
      </w:r>
      <w:r>
        <w:rPr>
          <w:rFonts w:hint="eastAsia" w:ascii="宋体" w:hAnsi="宋体" w:cs="宋体"/>
          <w:bCs/>
          <w:color w:val="000000"/>
          <w:sz w:val="24"/>
          <w:highlight w:val="none"/>
          <w:lang w:eastAsia="zh-CN"/>
        </w:rPr>
        <w:t>浮动管理费原则上按估值日计提，</w:t>
      </w:r>
      <w:r>
        <w:rPr>
          <w:rFonts w:hint="eastAsia" w:ascii="宋体" w:hAnsi="宋体" w:cs="宋体"/>
          <w:bCs/>
          <w:color w:val="000000"/>
          <w:sz w:val="24"/>
          <w:highlight w:val="none"/>
          <w:lang w:val="en-US" w:eastAsia="zh-CN"/>
        </w:rPr>
        <w:t>每个投资周期结束后</w:t>
      </w:r>
      <w:r>
        <w:rPr>
          <w:rFonts w:hint="eastAsia" w:ascii="宋体" w:hAnsi="宋体" w:cs="宋体"/>
          <w:bCs/>
          <w:color w:val="000000"/>
          <w:sz w:val="24"/>
          <w:highlight w:val="none"/>
          <w:lang w:eastAsia="zh-CN"/>
        </w:rPr>
        <w:t>收取。</w:t>
      </w:r>
      <w:r>
        <w:rPr>
          <w:rFonts w:hint="eastAsia" w:ascii="宋体" w:hAnsi="宋体" w:cs="宋体"/>
          <w:bCs/>
          <w:color w:val="000000"/>
          <w:sz w:val="24"/>
          <w:highlight w:val="none"/>
          <w:lang w:val="en-US" w:eastAsia="zh-CN"/>
        </w:rPr>
        <w:t>以</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〗为例</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具体计算方法如下：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H＝E×NAV0×(K-R)×〖</w:t>
      </w:r>
      <w:r>
        <w:rPr>
          <w:rFonts w:hint="eastAsia" w:ascii="宋体" w:hAnsi="宋体" w:cs="宋体"/>
          <w:bCs/>
          <w:color w:val="000000"/>
          <w:sz w:val="24"/>
          <w:highlight w:val="none"/>
          <w:lang w:val="en-US" w:eastAsia="zh-CN"/>
        </w:rPr>
        <w:t>50</w:t>
      </w:r>
      <w:r>
        <w:rPr>
          <w:rFonts w:hint="eastAsia" w:ascii="宋体" w:hAnsi="宋体" w:cs="宋体"/>
          <w:bCs/>
          <w:color w:val="000000"/>
          <w:sz w:val="24"/>
          <w:highlight w:val="none"/>
        </w:rPr>
        <w:t>%〗×N÷365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其中，K=(NAV1-NAV0+T)÷NAV0×365÷N</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〗当前确认日应收取浮动管理费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〗上一个确认日的存续份额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NAV0为〖</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〗上一个确认日前一日费后单位净值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NAV1为〖</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〗当前确认日前一日未扣除浮动管理费前的单位净值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R为〖</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〗本次投资周期的业绩比较</w:t>
      </w:r>
      <w:r>
        <w:rPr>
          <w:rFonts w:hint="eastAsia" w:ascii="宋体" w:hAnsi="宋体" w:cs="宋体"/>
          <w:bCs/>
          <w:color w:val="000000"/>
          <w:sz w:val="24"/>
          <w:highlight w:val="none"/>
          <w:lang w:val="en-US" w:eastAsia="zh-CN"/>
        </w:rPr>
        <w:t>基准</w:t>
      </w:r>
      <w:r>
        <w:rPr>
          <w:rFonts w:hint="eastAsia" w:ascii="宋体" w:hAnsi="宋体" w:cs="宋体"/>
          <w:bCs/>
          <w:color w:val="000000"/>
          <w:sz w:val="24"/>
          <w:highlight w:val="none"/>
        </w:rPr>
        <w:t>上限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N为〖</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〗上一个确认日（含）至当前确认日（不含）的实际理财天数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T为〖</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〗当前投资周期内每单位份额的实际分红金额的合计（如有）</w:t>
      </w:r>
    </w:p>
    <w:p>
      <w:pPr>
        <w:numPr>
          <w:ilvl w:val="0"/>
          <w:numId w:val="39"/>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4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4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4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4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4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4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ind w:firstLine="482" w:firstLineChars="200"/>
        <w:jc w:val="left"/>
        <w:rPr>
          <w:rFonts w:ascii="宋体" w:hAnsi="宋体" w:cs="宋体"/>
          <w:bCs/>
          <w:sz w:val="24"/>
          <w:highlight w:val="none"/>
        </w:rPr>
      </w:pP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4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税收说明</w:t>
      </w:r>
    </w:p>
    <w:p>
      <w:pPr>
        <w:numPr>
          <w:ilvl w:val="0"/>
          <w:numId w:val="42"/>
        </w:numPr>
        <w:spacing w:line="360" w:lineRule="auto"/>
        <w:ind w:firstLine="480" w:firstLineChars="200"/>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42"/>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42"/>
        </w:numPr>
        <w:spacing w:line="360" w:lineRule="auto"/>
        <w:ind w:firstLine="480" w:firstLineChars="200"/>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28"/>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收益计算</w:t>
      </w:r>
    </w:p>
    <w:p>
      <w:pPr>
        <w:numPr>
          <w:ilvl w:val="0"/>
          <w:numId w:val="43"/>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投资者理财收益＝赎回份额×赎回确认日（提前终止日）</w:t>
      </w:r>
      <w:r>
        <w:rPr>
          <w:rFonts w:hint="eastAsia" w:ascii="宋体" w:hAnsi="宋体" w:cs="宋体"/>
          <w:bCs/>
          <w:color w:val="000000"/>
          <w:sz w:val="24"/>
          <w:highlight w:val="none"/>
          <w:lang w:val="en-US" w:eastAsia="zh-CN"/>
        </w:rPr>
        <w:t>前一日</w:t>
      </w:r>
      <w:r>
        <w:rPr>
          <w:rFonts w:hint="eastAsia" w:ascii="宋体" w:hAnsi="宋体" w:cs="宋体"/>
          <w:bCs/>
          <w:color w:val="000000"/>
          <w:sz w:val="24"/>
          <w:highlight w:val="none"/>
        </w:rPr>
        <w:t>单位净值-认购或申购金额+</w:t>
      </w:r>
      <w:r>
        <w:rPr>
          <w:rFonts w:hint="eastAsia" w:ascii="宋体" w:hAnsi="宋体" w:cs="宋体"/>
          <w:bCs/>
          <w:sz w:val="24"/>
          <w:highlight w:val="none"/>
        </w:rPr>
        <w:t>份额持有期间累计分红（如有）</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份额=认购或申购金额/认购或申购确认日</w:t>
      </w:r>
      <w:r>
        <w:rPr>
          <w:rFonts w:hint="eastAsia" w:ascii="宋体" w:hAnsi="宋体" w:cs="宋体"/>
          <w:bCs/>
          <w:color w:val="000000"/>
          <w:sz w:val="24"/>
          <w:highlight w:val="none"/>
          <w:lang w:val="en-US" w:eastAsia="zh-CN"/>
        </w:rPr>
        <w:t>前一日</w:t>
      </w:r>
      <w:r>
        <w:rPr>
          <w:rFonts w:hint="eastAsia" w:ascii="宋体" w:hAnsi="宋体" w:cs="宋体"/>
          <w:bCs/>
          <w:color w:val="000000"/>
          <w:sz w:val="24"/>
          <w:highlight w:val="none"/>
        </w:rPr>
        <w:t>单位净值。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赎回确认日（提前终止日）</w:t>
      </w:r>
      <w:r>
        <w:rPr>
          <w:rFonts w:hint="eastAsia" w:ascii="宋体" w:hAnsi="宋体" w:cs="宋体"/>
          <w:bCs/>
          <w:color w:val="000000"/>
          <w:sz w:val="24"/>
          <w:highlight w:val="none"/>
          <w:lang w:val="en-US" w:eastAsia="zh-CN"/>
        </w:rPr>
        <w:t>前一日的</w:t>
      </w:r>
      <w:r>
        <w:rPr>
          <w:rFonts w:hint="eastAsia" w:ascii="宋体" w:hAnsi="宋体" w:cs="宋体"/>
          <w:bCs/>
          <w:color w:val="000000"/>
          <w:sz w:val="24"/>
          <w:highlight w:val="none"/>
        </w:rPr>
        <w:t>单位净值为提取相关费用及税费后的单位理财计划份额净值。</w:t>
      </w:r>
    </w:p>
    <w:p>
      <w:pPr>
        <w:numPr>
          <w:ilvl w:val="0"/>
          <w:numId w:val="43"/>
        </w:numPr>
        <w:spacing w:line="360" w:lineRule="auto"/>
        <w:jc w:val="left"/>
        <w:outlineLvl w:val="2"/>
        <w:rPr>
          <w:rFonts w:hint="eastAsia" w:ascii="宋体" w:hAnsi="宋体" w:cs="宋体"/>
          <w:bCs/>
          <w:color w:val="000000"/>
          <w:sz w:val="24"/>
          <w:highlight w:val="none"/>
        </w:rPr>
      </w:pPr>
      <w:r>
        <w:rPr>
          <w:rFonts w:hint="eastAsia" w:ascii="宋体" w:hAnsi="宋体" w:cs="宋体"/>
          <w:b/>
          <w:sz w:val="24"/>
          <w:highlight w:val="none"/>
        </w:rPr>
        <w:t>示例说明</w:t>
      </w:r>
    </w:p>
    <w:p>
      <w:pPr>
        <w:numPr>
          <w:ilvl w:val="0"/>
          <w:numId w:val="44"/>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示例</w:t>
      </w:r>
      <w:r>
        <w:rPr>
          <w:rFonts w:hint="eastAsia" w:ascii="宋体" w:hAnsi="宋体" w:cs="宋体"/>
          <w:b/>
          <w:sz w:val="24"/>
          <w:highlight w:val="none"/>
          <w:lang w:eastAsia="zh-CN"/>
        </w:rPr>
        <w:t>一</w:t>
      </w:r>
    </w:p>
    <w:p>
      <w:pPr>
        <w:spacing w:line="360" w:lineRule="auto"/>
        <w:ind w:firstLine="482" w:firstLineChars="200"/>
        <w:jc w:val="left"/>
        <w:rPr>
          <w:rFonts w:hint="eastAsia" w:ascii="宋体" w:hAnsi="宋体" w:cs="宋体"/>
          <w:bCs/>
          <w:color w:val="000000"/>
          <w:sz w:val="24"/>
          <w:highlight w:val="none"/>
        </w:rPr>
      </w:pPr>
      <w:r>
        <w:rPr>
          <w:rFonts w:hint="eastAsia" w:ascii="宋体" w:hAnsi="宋体" w:cs="宋体"/>
          <w:b/>
          <w:color w:val="000000"/>
          <w:sz w:val="24"/>
          <w:highlight w:val="none"/>
        </w:rPr>
        <w:t>扣除托管费、固定管理费、</w:t>
      </w:r>
      <w:r>
        <w:rPr>
          <w:rFonts w:hint="eastAsia" w:ascii="宋体" w:hAnsi="宋体" w:cs="宋体"/>
          <w:b/>
          <w:color w:val="000000"/>
          <w:sz w:val="24"/>
          <w:highlight w:val="none"/>
          <w:lang w:eastAsia="zh-CN"/>
        </w:rPr>
        <w:t>销售服务费</w:t>
      </w:r>
      <w:r>
        <w:rPr>
          <w:rFonts w:hint="eastAsia" w:ascii="宋体" w:hAnsi="宋体" w:cs="宋体"/>
          <w:b/>
          <w:color w:val="000000"/>
          <w:sz w:val="24"/>
          <w:highlight w:val="none"/>
        </w:rPr>
        <w:t>（如有）后，投资收益率超过〖</w:t>
      </w:r>
      <w:r>
        <w:rPr>
          <w:rFonts w:hint="eastAsia" w:ascii="宋体" w:hAnsi="宋体" w:cs="宋体"/>
          <w:b/>
          <w:color w:val="000000"/>
          <w:sz w:val="24"/>
          <w:highlight w:val="none"/>
          <w:lang w:val="en-US" w:eastAsia="zh-CN"/>
        </w:rPr>
        <w:t>业绩比较基准上限</w:t>
      </w:r>
      <w:r>
        <w:rPr>
          <w:rFonts w:hint="eastAsia" w:ascii="宋体" w:hAnsi="宋体" w:cs="宋体"/>
          <w:b/>
          <w:color w:val="000000"/>
          <w:sz w:val="24"/>
          <w:highlight w:val="none"/>
        </w:rPr>
        <w:t>〗。</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以某投资者投资10万元〖</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〗为例，假设购买时理财计划净值为1.00元，折算份额为100,000.00份,假设投资理财计划362天</w:t>
      </w:r>
      <w:r>
        <w:rPr>
          <w:rFonts w:hint="eastAsia" w:ascii="宋体" w:hAnsi="宋体" w:cs="宋体"/>
          <w:bCs/>
          <w:color w:val="000000"/>
        </w:rPr>
        <w:t>后，赎回份额100,000.00份</w:t>
      </w:r>
      <w:r>
        <w:rPr>
          <w:rFonts w:hint="eastAsia" w:ascii="宋体" w:hAnsi="宋体" w:cs="宋体"/>
          <w:bCs/>
          <w:color w:val="000000"/>
          <w:sz w:val="24"/>
          <w:highlight w:val="none"/>
        </w:rPr>
        <w:t>。假设管理人提取超过〖业绩比较基准上限〗的50%作为浮动管理费，〖</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业绩比较基准上限为5.00%，期间无分红。赎回</w:t>
      </w:r>
      <w:r>
        <w:rPr>
          <w:rFonts w:hint="eastAsia" w:ascii="宋体" w:hAnsi="宋体" w:cs="宋体"/>
          <w:bCs/>
          <w:color w:val="000000"/>
          <w:sz w:val="24"/>
          <w:highlight w:val="none"/>
        </w:rPr>
        <w:t>时扣除托管费、固定管理费、</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（如有）后，如理财计划净值为1.0615，此时，(1.0615/1.00-1)×365/362=6.20%&gt;5.00%，即投资收益超过〖5.00%〗，则投资管理人对超过〖5.00%〗部分收益收取浮动管理费，浮动管理费为：</w:t>
      </w:r>
    </w:p>
    <w:p>
      <w:pPr>
        <w:spacing w:line="360" w:lineRule="auto"/>
        <w:ind w:firstLine="480" w:firstLineChars="200"/>
        <w:jc w:val="left"/>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100,000.00×1.0615-100,000.00×</w:t>
      </w:r>
      <w:r>
        <w:rPr>
          <w:rFonts w:hint="eastAsia" w:ascii="宋体" w:hAnsi="宋体" w:cs="宋体"/>
          <w:bCs/>
          <w:color w:val="000000"/>
          <w:sz w:val="24"/>
          <w:highlight w:val="none"/>
          <w:lang w:val="en-US" w:eastAsia="zh-CN"/>
        </w:rPr>
        <w:t>1.0000-</w:t>
      </w:r>
      <w:r>
        <w:rPr>
          <w:rFonts w:hint="eastAsia" w:ascii="宋体" w:hAnsi="宋体" w:cs="宋体"/>
          <w:bCs/>
          <w:color w:val="000000"/>
          <w:sz w:val="24"/>
          <w:highlight w:val="none"/>
        </w:rPr>
        <w:t>100,000.00×</w:t>
      </w:r>
      <w:r>
        <w:rPr>
          <w:rFonts w:hint="eastAsia" w:ascii="宋体" w:hAnsi="宋体" w:cs="宋体"/>
          <w:bCs/>
          <w:color w:val="000000"/>
          <w:sz w:val="24"/>
          <w:highlight w:val="none"/>
          <w:lang w:val="en-US" w:eastAsia="zh-CN"/>
        </w:rPr>
        <w:t>1.0000</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5.00%</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362/365）</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50%=595</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55</w:t>
      </w:r>
      <w:r>
        <w:rPr>
          <w:rFonts w:hint="eastAsia" w:ascii="宋体" w:hAnsi="宋体" w:cs="宋体"/>
          <w:bCs/>
          <w:color w:val="000000"/>
          <w:sz w:val="24"/>
          <w:highlight w:val="none"/>
        </w:rPr>
        <w:t>（元）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扣除浮动管理费后，投资者最终收益为：</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100,000.00×（1.0615-1.00）-</w:t>
      </w:r>
      <w:r>
        <w:rPr>
          <w:rFonts w:hint="eastAsia" w:ascii="宋体" w:hAnsi="宋体" w:cs="宋体"/>
          <w:bCs/>
          <w:color w:val="000000"/>
          <w:sz w:val="24"/>
          <w:highlight w:val="none"/>
          <w:lang w:val="en-US" w:eastAsia="zh-CN"/>
        </w:rPr>
        <w:t>595</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55</w:t>
      </w:r>
      <w:r>
        <w:rPr>
          <w:rFonts w:hint="eastAsia" w:ascii="宋体" w:hAnsi="宋体" w:cs="宋体"/>
          <w:bCs/>
          <w:color w:val="000000"/>
          <w:sz w:val="24"/>
          <w:highlight w:val="none"/>
        </w:rPr>
        <w:t xml:space="preserve"> =5,55</w:t>
      </w:r>
      <w:r>
        <w:rPr>
          <w:rFonts w:hint="eastAsia" w:ascii="宋体" w:hAnsi="宋体" w:cs="宋体"/>
          <w:bCs/>
          <w:color w:val="000000"/>
          <w:sz w:val="24"/>
          <w:highlight w:val="none"/>
          <w:lang w:val="en-US" w:eastAsia="zh-CN"/>
        </w:rPr>
        <w:t>4</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45</w:t>
      </w:r>
      <w:r>
        <w:rPr>
          <w:rFonts w:hint="eastAsia" w:ascii="宋体" w:hAnsi="宋体" w:cs="宋体"/>
          <w:bCs/>
          <w:color w:val="000000"/>
          <w:sz w:val="24"/>
          <w:highlight w:val="none"/>
        </w:rPr>
        <w:t>（元），理财计划</w:t>
      </w:r>
      <w:r>
        <w:rPr>
          <w:rFonts w:hint="eastAsia" w:ascii="宋体" w:hAnsi="宋体" w:cs="宋体"/>
          <w:bCs/>
          <w:color w:val="000000"/>
          <w:sz w:val="24"/>
          <w:highlight w:val="none"/>
          <w:lang w:val="en-US" w:eastAsia="zh-CN"/>
        </w:rPr>
        <w:t>赎回</w:t>
      </w:r>
      <w:r>
        <w:rPr>
          <w:rFonts w:hint="eastAsia" w:ascii="宋体" w:hAnsi="宋体" w:cs="宋体"/>
          <w:bCs/>
          <w:color w:val="000000"/>
          <w:sz w:val="24"/>
          <w:highlight w:val="none"/>
        </w:rPr>
        <w:t>时，投资者获得的实际收益相当于达到年化收益率水平为：5,55</w:t>
      </w:r>
      <w:r>
        <w:rPr>
          <w:rFonts w:hint="eastAsia" w:ascii="宋体" w:hAnsi="宋体" w:cs="宋体"/>
          <w:bCs/>
          <w:color w:val="000000"/>
          <w:sz w:val="24"/>
          <w:highlight w:val="none"/>
          <w:lang w:val="en-US" w:eastAsia="zh-CN"/>
        </w:rPr>
        <w:t>4</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45</w:t>
      </w:r>
      <w:r>
        <w:rPr>
          <w:rFonts w:hint="eastAsia" w:ascii="宋体" w:hAnsi="宋体" w:cs="宋体"/>
          <w:bCs/>
          <w:color w:val="000000"/>
          <w:sz w:val="24"/>
          <w:highlight w:val="none"/>
        </w:rPr>
        <w:t>/100,000.00×365/362=5.60%。</w:t>
      </w:r>
    </w:p>
    <w:p>
      <w:pPr>
        <w:numPr>
          <w:ilvl w:val="0"/>
          <w:numId w:val="44"/>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示例二</w:t>
      </w:r>
    </w:p>
    <w:p>
      <w:pPr>
        <w:spacing w:line="360" w:lineRule="auto"/>
        <w:ind w:firstLine="482" w:firstLineChars="200"/>
        <w:jc w:val="left"/>
        <w:rPr>
          <w:rFonts w:hint="eastAsia" w:ascii="宋体" w:hAnsi="宋体" w:cs="宋体"/>
          <w:bCs/>
          <w:color w:val="000000"/>
          <w:sz w:val="24"/>
          <w:highlight w:val="none"/>
        </w:rPr>
      </w:pPr>
      <w:r>
        <w:rPr>
          <w:rFonts w:hint="eastAsia" w:ascii="宋体" w:hAnsi="宋体" w:cs="宋体"/>
          <w:b/>
          <w:color w:val="000000"/>
          <w:sz w:val="24"/>
          <w:highlight w:val="none"/>
        </w:rPr>
        <w:t>扣除托管费、固定管理费、</w:t>
      </w:r>
      <w:r>
        <w:rPr>
          <w:rFonts w:hint="eastAsia" w:ascii="宋体" w:hAnsi="宋体" w:cs="宋体"/>
          <w:b/>
          <w:color w:val="000000"/>
          <w:sz w:val="24"/>
          <w:highlight w:val="none"/>
          <w:lang w:eastAsia="zh-CN"/>
        </w:rPr>
        <w:t>销售服务费</w:t>
      </w:r>
      <w:r>
        <w:rPr>
          <w:rFonts w:hint="eastAsia" w:ascii="宋体" w:hAnsi="宋体" w:cs="宋体"/>
          <w:b/>
          <w:color w:val="000000"/>
          <w:sz w:val="24"/>
          <w:highlight w:val="none"/>
        </w:rPr>
        <w:t>（如有）后，投资收益率未达到〖</w:t>
      </w:r>
      <w:r>
        <w:rPr>
          <w:rFonts w:hint="eastAsia" w:ascii="宋体" w:hAnsi="宋体" w:cs="宋体"/>
          <w:b/>
          <w:color w:val="000000"/>
          <w:sz w:val="24"/>
          <w:highlight w:val="none"/>
          <w:lang w:val="en-US" w:eastAsia="zh-CN"/>
        </w:rPr>
        <w:t>业绩比较基准上限</w:t>
      </w:r>
      <w:r>
        <w:rPr>
          <w:rFonts w:hint="eastAsia" w:ascii="宋体" w:hAnsi="宋体" w:cs="宋体"/>
          <w:b/>
          <w:color w:val="000000"/>
          <w:sz w:val="24"/>
          <w:highlight w:val="none"/>
        </w:rPr>
        <w:t>〗。</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以某投资者投资10万元〖</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〗为例，假设购买时理财计划净值为1.00元，折算份额为100,000.00份，假设投资理财计划362天</w:t>
      </w:r>
      <w:r>
        <w:rPr>
          <w:rFonts w:hint="eastAsia" w:ascii="宋体" w:hAnsi="宋体" w:cs="宋体"/>
          <w:bCs/>
          <w:color w:val="000000"/>
        </w:rPr>
        <w:t>后，赎回份额100,000.00份</w:t>
      </w:r>
      <w:r>
        <w:rPr>
          <w:rFonts w:hint="eastAsia" w:ascii="宋体" w:hAnsi="宋体" w:cs="宋体"/>
          <w:bCs/>
          <w:color w:val="000000"/>
          <w:sz w:val="24"/>
          <w:highlight w:val="none"/>
        </w:rPr>
        <w:t>。假设管理人提取超过〖业绩比较基准上限〗的50%作为浮动管理费，〖</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业绩比较基准上限为5.00%，期间无分红。赎回</w:t>
      </w:r>
      <w:r>
        <w:rPr>
          <w:rFonts w:hint="eastAsia" w:ascii="宋体" w:hAnsi="宋体" w:cs="宋体"/>
          <w:bCs/>
          <w:color w:val="000000"/>
          <w:sz w:val="24"/>
          <w:highlight w:val="none"/>
        </w:rPr>
        <w:t>时扣除托管费、固定管理费、</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（如有）后，如理财计划净值为1.0426，此时，(1.0426/1.00-1)×365/362=4.30%&lt;5.00%，即投资收益未达到〖5.00%〗，则投资管理人不收取浮动管理费，投资者最终收益为：100,000.00×(1.0426-1.00）=4,260.00（元）</w:t>
      </w:r>
    </w:p>
    <w:p>
      <w:pPr>
        <w:numPr>
          <w:ilvl w:val="0"/>
          <w:numId w:val="44"/>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示例三</w:t>
      </w:r>
    </w:p>
    <w:p>
      <w:pPr>
        <w:spacing w:line="360" w:lineRule="auto"/>
        <w:ind w:firstLine="482" w:firstLineChars="200"/>
        <w:jc w:val="left"/>
        <w:rPr>
          <w:rFonts w:hint="eastAsia" w:ascii="宋体" w:hAnsi="宋体" w:cs="宋体"/>
          <w:b/>
          <w:color w:val="000000"/>
          <w:sz w:val="24"/>
          <w:highlight w:val="none"/>
        </w:rPr>
      </w:pPr>
      <w:r>
        <w:rPr>
          <w:rFonts w:hint="eastAsia" w:ascii="宋体" w:hAnsi="宋体" w:cs="宋体"/>
          <w:b/>
          <w:color w:val="000000"/>
          <w:sz w:val="24"/>
          <w:highlight w:val="none"/>
        </w:rPr>
        <w:t>扣除托管费、固定管理费、</w:t>
      </w:r>
      <w:r>
        <w:rPr>
          <w:rFonts w:hint="eastAsia" w:ascii="宋体" w:hAnsi="宋体" w:cs="宋体"/>
          <w:b/>
          <w:color w:val="000000"/>
          <w:sz w:val="24"/>
          <w:highlight w:val="none"/>
          <w:lang w:eastAsia="zh-CN"/>
        </w:rPr>
        <w:t>销售服务费</w:t>
      </w:r>
      <w:r>
        <w:rPr>
          <w:rFonts w:hint="eastAsia" w:ascii="宋体" w:hAnsi="宋体" w:cs="宋体"/>
          <w:b/>
          <w:color w:val="000000"/>
          <w:sz w:val="24"/>
          <w:highlight w:val="none"/>
        </w:rPr>
        <w:t>（如有）后，投资发生亏损。</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以某投资者投资10万元〖</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〗为例，假设购买时理财计划净值为1.00元，折算份额为100,000.00份，假设投资理财计划362天</w:t>
      </w:r>
      <w:r>
        <w:rPr>
          <w:rFonts w:hint="eastAsia" w:ascii="宋体" w:hAnsi="宋体" w:cs="宋体"/>
          <w:bCs/>
          <w:color w:val="000000"/>
        </w:rPr>
        <w:t>后，赎回份额100,000.00份</w:t>
      </w:r>
      <w:r>
        <w:rPr>
          <w:rFonts w:hint="eastAsia" w:ascii="宋体" w:hAnsi="宋体" w:cs="宋体"/>
          <w:bCs/>
          <w:color w:val="000000"/>
          <w:sz w:val="24"/>
          <w:highlight w:val="none"/>
        </w:rPr>
        <w:t>。假设管理人提取超过〖业绩比较基准上限〗的50%作为浮动管理费，〖</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业绩比较基准上限为5.00%，期间无分红。赎回</w:t>
      </w:r>
      <w:r>
        <w:rPr>
          <w:rFonts w:hint="eastAsia" w:ascii="宋体" w:hAnsi="宋体" w:cs="宋体"/>
          <w:bCs/>
          <w:color w:val="000000"/>
          <w:sz w:val="24"/>
          <w:highlight w:val="none"/>
        </w:rPr>
        <w:t>时扣除托管费、固定管理费、</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（如有）后，如理财计划净值为0.9975，则投资管理人不收取浮动管理费，投资者最终收益为：100,000.00×（0.9975-1.00）=-250.00（元）。</w:t>
      </w:r>
    </w:p>
    <w:p>
      <w:pPr>
        <w:numPr>
          <w:ilvl w:val="0"/>
          <w:numId w:val="43"/>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w:t>
      </w:r>
      <w:r>
        <w:rPr>
          <w:rFonts w:hint="eastAsia" w:ascii="宋体" w:hAnsi="宋体" w:cs="宋体"/>
          <w:bCs/>
          <w:color w:val="000000"/>
          <w:sz w:val="24"/>
          <w:highlight w:val="none"/>
          <w:lang w:val="en-US" w:eastAsia="zh-CN"/>
        </w:rPr>
        <w:t>赎回或</w:t>
      </w:r>
      <w:r>
        <w:rPr>
          <w:rFonts w:hint="eastAsia" w:ascii="宋体" w:hAnsi="宋体" w:cs="宋体"/>
          <w:bCs/>
          <w:color w:val="000000"/>
          <w:sz w:val="24"/>
          <w:highlight w:val="none"/>
        </w:rPr>
        <w:t>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28"/>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交易规则</w:t>
      </w:r>
    </w:p>
    <w:p>
      <w:pPr>
        <w:numPr>
          <w:ilvl w:val="0"/>
          <w:numId w:val="45"/>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认购</w:t>
      </w:r>
    </w:p>
    <w:p>
      <w:pPr>
        <w:numPr>
          <w:ilvl w:val="0"/>
          <w:numId w:val="46"/>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w:t>
      </w:r>
      <w:r>
        <w:rPr>
          <w:rFonts w:hint="eastAsia" w:ascii="宋体" w:hAnsi="宋体" w:cs="宋体"/>
          <w:bCs/>
          <w:color w:val="000000"/>
        </w:rPr>
        <w:t>具体以销售机构要求为准</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w:t>
      </w:r>
    </w:p>
    <w:p>
      <w:pPr>
        <w:numPr>
          <w:ilvl w:val="0"/>
          <w:numId w:val="46"/>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46"/>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50％，管理人将不再接受超出部分的认购申请。非因投资管理人主观因素导致突破前款规定比例限制的，在单一投资者持有比例降至50％以下之前，管理人将不再接受该投资者对该理财产品的认购申请。投资者持有份额的计算以管理人登记为准。</w:t>
      </w:r>
    </w:p>
    <w:p>
      <w:pPr>
        <w:numPr>
          <w:ilvl w:val="0"/>
          <w:numId w:val="45"/>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成立</w:t>
      </w:r>
    </w:p>
    <w:p>
      <w:pPr>
        <w:numPr>
          <w:ilvl w:val="0"/>
          <w:numId w:val="4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47"/>
        </w:numPr>
        <w:spacing w:line="360" w:lineRule="auto"/>
        <w:ind w:firstLine="480" w:firstLineChars="200"/>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45"/>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申购及赎回</w:t>
      </w:r>
    </w:p>
    <w:p>
      <w:pPr>
        <w:numPr>
          <w:ilvl w:val="0"/>
          <w:numId w:val="4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交易确认及时间</w:t>
      </w:r>
    </w:p>
    <w:p>
      <w:pPr>
        <w:numPr>
          <w:ilvl w:val="0"/>
          <w:numId w:val="49"/>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本理财计划在每个开放期的开放日工作时间可进行申购</w:t>
      </w:r>
      <w:r>
        <w:rPr>
          <w:rFonts w:hint="eastAsia" w:ascii="宋体" w:hAnsi="宋体" w:cs="宋体"/>
          <w:bCs/>
          <w:sz w:val="24"/>
          <w:highlight w:val="none"/>
          <w:lang w:val="en-US" w:eastAsia="zh-CN"/>
        </w:rPr>
        <w:t>和赎回</w:t>
      </w:r>
      <w:r>
        <w:rPr>
          <w:rFonts w:hint="eastAsia" w:ascii="宋体" w:hAnsi="宋体" w:cs="宋体"/>
          <w:bCs/>
          <w:sz w:val="24"/>
          <w:highlight w:val="none"/>
        </w:rPr>
        <w:t>，申购</w:t>
      </w:r>
      <w:r>
        <w:rPr>
          <w:rFonts w:hint="eastAsia" w:ascii="宋体" w:hAnsi="宋体" w:cs="宋体"/>
          <w:bCs/>
          <w:sz w:val="24"/>
          <w:highlight w:val="none"/>
          <w:lang w:val="en-US" w:eastAsia="zh-CN"/>
        </w:rPr>
        <w:t>和赎回</w:t>
      </w:r>
      <w:r>
        <w:rPr>
          <w:rFonts w:hint="eastAsia" w:ascii="宋体" w:hAnsi="宋体" w:cs="宋体"/>
          <w:bCs/>
          <w:sz w:val="24"/>
          <w:highlight w:val="none"/>
        </w:rPr>
        <w:t>申请将在确认日进行确认，即开放期后的第〖1〗个工作日进行确认。</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工作时间为每个工作日上午〖9:00〗至下午〖17:00〗。</w:t>
      </w:r>
      <w:r>
        <w:rPr>
          <w:rFonts w:hint="eastAsia" w:ascii="宋体" w:hAnsi="宋体" w:cs="宋体"/>
          <w:color w:val="000000"/>
          <w:kern w:val="0"/>
          <w:sz w:val="24"/>
          <w:szCs w:val="24"/>
          <w:highlight w:val="none"/>
        </w:rPr>
        <w:t>（具体以销售机构规定为准）</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如</w:t>
      </w:r>
      <w:r>
        <w:rPr>
          <w:rFonts w:hint="eastAsia" w:ascii="宋体" w:hAnsi="宋体" w:cs="宋体"/>
          <w:bCs/>
          <w:color w:val="000000"/>
          <w:sz w:val="24"/>
          <w:highlight w:val="none"/>
          <w:lang w:eastAsia="zh-CN"/>
        </w:rPr>
        <w:t>新增申</w:t>
      </w:r>
      <w:r>
        <w:rPr>
          <w:rFonts w:hint="eastAsia" w:ascii="宋体" w:hAnsi="宋体" w:cs="宋体"/>
          <w:bCs/>
          <w:color w:val="000000"/>
          <w:sz w:val="24"/>
          <w:highlight w:val="none"/>
          <w:lang w:val="en-US" w:eastAsia="zh-CN"/>
        </w:rPr>
        <w:t>购使得单一投资者持有份额比例超过50％，管理人将不再接受超出部分的申购申请。非因投资管理人主观因素导致突破前款规定比例限制的，在单一投资者持有比例降至50％以下之前，管理人将不再接受该投资者对该理财产品的申购申请。投资者持有份额的计算以管理人登记为准。</w:t>
      </w:r>
    </w:p>
    <w:p>
      <w:pPr>
        <w:numPr>
          <w:ilvl w:val="0"/>
          <w:numId w:val="4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到账时间</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赎回资金确认后，最快〖</w:t>
      </w:r>
      <w:r>
        <w:rPr>
          <w:rFonts w:hint="eastAsia" w:ascii="宋体" w:hAnsi="宋体" w:cs="宋体"/>
          <w:bCs/>
          <w:sz w:val="24"/>
          <w:highlight w:val="none"/>
          <w:lang w:val="en-US" w:eastAsia="zh-CN"/>
        </w:rPr>
        <w:t>1</w:t>
      </w:r>
      <w:r>
        <w:rPr>
          <w:rFonts w:hint="eastAsia" w:ascii="宋体" w:hAnsi="宋体" w:cs="宋体"/>
          <w:bCs/>
          <w:sz w:val="24"/>
          <w:highlight w:val="none"/>
        </w:rPr>
        <w:t>〗个工作日，最晚〖</w:t>
      </w:r>
      <w:r>
        <w:rPr>
          <w:rFonts w:hint="eastAsia" w:ascii="宋体" w:hAnsi="宋体" w:cs="宋体"/>
          <w:bCs/>
          <w:sz w:val="24"/>
          <w:highlight w:val="none"/>
          <w:lang w:val="en-US" w:eastAsia="zh-CN"/>
        </w:rPr>
        <w:t>3</w:t>
      </w:r>
      <w:r>
        <w:rPr>
          <w:rFonts w:hint="eastAsia" w:ascii="宋体" w:hAnsi="宋体" w:cs="宋体"/>
          <w:bCs/>
          <w:sz w:val="24"/>
          <w:highlight w:val="none"/>
        </w:rPr>
        <w:t>〗个工作日内（遇节假日顺延）理财资金与收益将一次性支付。如遇资金在途或法定工作日调整，实际资金到账日以公告为准。</w:t>
      </w:r>
      <w:r>
        <w:rPr>
          <w:rFonts w:hint="eastAsia" w:ascii="宋体" w:hAnsi="宋体" w:cs="宋体"/>
          <w:color w:val="000000"/>
          <w:kern w:val="0"/>
          <w:sz w:val="24"/>
          <w:szCs w:val="24"/>
          <w:highlight w:val="none"/>
        </w:rPr>
        <w:t>（具体以销售机构规定为准）</w:t>
      </w:r>
    </w:p>
    <w:p>
      <w:pPr>
        <w:numPr>
          <w:ilvl w:val="0"/>
          <w:numId w:val="4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巨额赎回处理</w:t>
      </w:r>
    </w:p>
    <w:p>
      <w:pPr>
        <w:numPr>
          <w:ilvl w:val="0"/>
          <w:numId w:val="50"/>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巨额赎回认定</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理财计划存续期内，若理财计划开放日净赎回申请份额超过上一日日终理财计划总份额〖10%〗时，即构成巨额赎回。</w:t>
      </w:r>
    </w:p>
    <w:p>
      <w:pPr>
        <w:numPr>
          <w:ilvl w:val="0"/>
          <w:numId w:val="5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巨额赎回处理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sz w:val="24"/>
          <w:highlight w:val="none"/>
        </w:rPr>
      </w:pPr>
      <w:r>
        <w:rPr>
          <w:rFonts w:hint="eastAsia" w:ascii="宋体" w:hAnsi="宋体" w:cs="宋体"/>
          <w:bCs/>
          <w:sz w:val="24"/>
          <w:highlight w:val="none"/>
        </w:rPr>
        <w:t>当出现巨额赎回时，管理人可以根据资产组合状况决定采取全额赎回或拒绝超出部分的赎回申请。</w:t>
      </w:r>
      <w:r>
        <w:rPr>
          <w:rFonts w:hint="eastAsia" w:ascii="宋体" w:hAnsi="宋体" w:cs="宋体"/>
          <w:bCs/>
          <w:sz w:val="24"/>
          <w:highlight w:val="none"/>
          <w:lang w:val="en-US" w:eastAsia="zh-CN"/>
        </w:rPr>
        <w:t>如连续2日（含）以上开放日发生巨额赎回，对于已经接受的赎回申请，管理人可以延缓支付赎回款项，但延缓期限不得超过5个工作日。</w:t>
      </w:r>
    </w:p>
    <w:p>
      <w:pPr>
        <w:numPr>
          <w:ilvl w:val="0"/>
          <w:numId w:val="5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全部赎回</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当管理人认为全额兑付投资者的赎回申请将不会对本理财计划净值造成较大波动或给本理财计划造成重大损失时，按正常赎回程序执行。</w:t>
      </w:r>
    </w:p>
    <w:p>
      <w:pPr>
        <w:numPr>
          <w:ilvl w:val="0"/>
          <w:numId w:val="5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拒绝超出部分的赎回申请</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当管理人认为全部满足投资者的赎回申请可能会对本理财计划造成重大损失或可能会对理财计划净值造成较大波动时，在当日接受赎回比例不低于理财计划上一确认日日终总份额的〖10%〗的前提下，对其余赎回申请予以拒绝，但投资者可于下一赎回开放期重新进行赎回申请。</w:t>
      </w:r>
    </w:p>
    <w:p>
      <w:pPr>
        <w:numPr>
          <w:ilvl w:val="0"/>
          <w:numId w:val="5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在</w:t>
      </w:r>
      <w:r>
        <w:rPr>
          <w:rFonts w:hint="eastAsia" w:ascii="宋体" w:hAnsi="宋体" w:cs="宋体"/>
          <w:bCs/>
          <w:sz w:val="24"/>
          <w:highlight w:val="none"/>
        </w:rPr>
        <w:t>理财计划存续期内，管理人有权根据市场情况调整巨额赎回金额比例，并及时进行对外公告。</w:t>
      </w:r>
    </w:p>
    <w:p>
      <w:pPr>
        <w:numPr>
          <w:ilvl w:val="0"/>
          <w:numId w:val="4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暂停申购、赎回及延期支付赎回的情形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发生以下情形，管理人可暂停接受全部或部分投资者的申购申请：</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w:t>
      </w:r>
      <w:r>
        <w:rPr>
          <w:rFonts w:hint="eastAsia" w:ascii="宋体" w:hAnsi="宋体" w:cs="宋体"/>
          <w:bCs/>
          <w:sz w:val="24"/>
          <w:highlight w:val="none"/>
          <w:lang w:val="en-US" w:eastAsia="zh-CN"/>
        </w:rPr>
        <w:t>资产规模过大，继续接受申购可能对理财计划业绩产生负面影响，从而损害现有份额持有人利益的情形时</w:t>
      </w:r>
      <w:r>
        <w:rPr>
          <w:rFonts w:hint="eastAsia" w:ascii="宋体" w:hAnsi="宋体" w:cs="宋体"/>
          <w:bCs/>
          <w:sz w:val="24"/>
          <w:highlight w:val="none"/>
        </w:rPr>
        <w:t>。</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当</w:t>
      </w:r>
      <w:r>
        <w:rPr>
          <w:rFonts w:hint="eastAsia" w:ascii="宋体" w:hAnsi="宋体" w:cs="宋体"/>
          <w:bCs/>
          <w:sz w:val="24"/>
          <w:highlight w:val="none"/>
          <w:lang w:val="en-US" w:eastAsia="zh-CN"/>
        </w:rPr>
        <w:t>管理人认为某笔申购申请会有损于其他份额持有人利益的情形时。</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发生产品说明书约定的暂停估值的情形时。</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法律</w:t>
      </w:r>
      <w:r>
        <w:rPr>
          <w:rFonts w:hint="eastAsia" w:ascii="宋体" w:hAnsi="宋体" w:cs="宋体"/>
          <w:bCs/>
          <w:sz w:val="24"/>
          <w:highlight w:val="none"/>
          <w:lang w:val="en-US" w:eastAsia="zh-CN"/>
        </w:rPr>
        <w:t>法规规定或监管机构认定的其他情形。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发生以下情形，对超出前一日终理财产品总份额10%的赎回申请，管理人可暂停接受全部或部分、延期办理投资者的赎回申请：</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理财计划发生巨额赎回情形时。</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当继续</w:t>
      </w:r>
      <w:r>
        <w:rPr>
          <w:rFonts w:hint="default" w:ascii="宋体" w:hAnsi="宋体" w:cs="宋体"/>
          <w:bCs/>
          <w:sz w:val="24"/>
          <w:highlight w:val="none"/>
          <w:lang w:val="en-US" w:eastAsia="zh-CN"/>
        </w:rPr>
        <w:t>接受赎回申请将损害存量投资者利益的情形</w:t>
      </w:r>
      <w:r>
        <w:rPr>
          <w:rFonts w:hint="eastAsia" w:ascii="宋体" w:hAnsi="宋体" w:cs="宋体"/>
          <w:bCs/>
          <w:sz w:val="24"/>
          <w:highlight w:val="none"/>
          <w:lang w:val="en-US" w:eastAsia="zh-CN"/>
        </w:rPr>
        <w:t>时。</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w:t>
      </w:r>
      <w:r>
        <w:rPr>
          <w:rFonts w:hint="default" w:ascii="宋体" w:hAnsi="宋体" w:cs="宋体"/>
          <w:bCs/>
          <w:sz w:val="24"/>
          <w:highlight w:val="none"/>
          <w:lang w:val="en-US" w:eastAsia="zh-CN"/>
        </w:rPr>
        <w:t>前一估值日</w:t>
      </w:r>
      <w:r>
        <w:rPr>
          <w:rFonts w:hint="eastAsia" w:ascii="宋体" w:hAnsi="宋体" w:cs="宋体"/>
          <w:bCs/>
          <w:sz w:val="24"/>
          <w:highlight w:val="none"/>
          <w:lang w:val="en-US" w:eastAsia="zh-CN"/>
        </w:rPr>
        <w:t>理财计划</w:t>
      </w:r>
      <w:r>
        <w:rPr>
          <w:rFonts w:hint="default" w:ascii="宋体" w:hAnsi="宋体" w:cs="宋体"/>
          <w:bCs/>
          <w:sz w:val="24"/>
          <w:highlight w:val="none"/>
          <w:lang w:val="en-US" w:eastAsia="zh-CN"/>
        </w:rPr>
        <w:t>资产净值50%以上的资产不具备活跃交易市场或者在活跃市场中无报价，且不能采用估值技术可靠计量公允价值</w:t>
      </w:r>
      <w:r>
        <w:rPr>
          <w:rFonts w:hint="eastAsia" w:ascii="宋体" w:hAnsi="宋体" w:cs="宋体"/>
          <w:bCs/>
          <w:sz w:val="24"/>
          <w:highlight w:val="none"/>
          <w:lang w:val="en-US" w:eastAsia="zh-CN"/>
        </w:rPr>
        <w:t>的情形</w:t>
      </w:r>
      <w:r>
        <w:rPr>
          <w:rFonts w:hint="default" w:ascii="宋体" w:hAnsi="宋体" w:cs="宋体"/>
          <w:bCs/>
          <w:sz w:val="24"/>
          <w:highlight w:val="none"/>
          <w:lang w:val="en-US" w:eastAsia="zh-CN"/>
        </w:rPr>
        <w:t>时</w:t>
      </w:r>
      <w:r>
        <w:rPr>
          <w:rFonts w:hint="eastAsia" w:ascii="宋体" w:hAnsi="宋体" w:cs="宋体"/>
          <w:bCs/>
          <w:sz w:val="24"/>
          <w:highlight w:val="none"/>
          <w:lang w:val="en-US" w:eastAsia="zh-CN"/>
        </w:rPr>
        <w:t>。</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发生</w:t>
      </w:r>
      <w:r>
        <w:rPr>
          <w:rFonts w:hint="eastAsia" w:ascii="宋体" w:hAnsi="宋体" w:cs="宋体"/>
          <w:bCs/>
          <w:sz w:val="24"/>
          <w:highlight w:val="none"/>
          <w:lang w:eastAsia="zh-CN"/>
        </w:rPr>
        <w:t>产品说明书约定的暂停估值的情形时。</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法律</w:t>
      </w:r>
      <w:r>
        <w:rPr>
          <w:rFonts w:hint="eastAsia" w:ascii="宋体" w:hAnsi="宋体" w:cs="宋体"/>
          <w:bCs/>
          <w:sz w:val="24"/>
          <w:highlight w:val="none"/>
          <w:lang w:val="en-US" w:eastAsia="zh-CN"/>
        </w:rPr>
        <w:t>法规规定或监管机构认定的其他情形。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发生以下情形，管理人对已接受的赎回申请，可延期支付赎回款项：</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因</w:t>
      </w:r>
      <w:r>
        <w:rPr>
          <w:rFonts w:hint="eastAsia" w:ascii="宋体" w:hAnsi="宋体" w:cs="宋体"/>
          <w:bCs/>
          <w:sz w:val="24"/>
          <w:highlight w:val="none"/>
          <w:lang w:val="en-US" w:eastAsia="zh-CN"/>
        </w:rPr>
        <w:t>不可抗力等原因，导致管理人接受赎回申请后无法及时兑付的情形时。</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连续</w:t>
      </w:r>
      <w:r>
        <w:rPr>
          <w:rFonts w:hint="default" w:ascii="宋体" w:hAnsi="宋体" w:cs="宋体"/>
          <w:bCs/>
          <w:sz w:val="24"/>
          <w:highlight w:val="none"/>
          <w:lang w:val="en-US" w:eastAsia="zh-CN"/>
        </w:rPr>
        <w:t>2</w:t>
      </w:r>
      <w:r>
        <w:rPr>
          <w:rFonts w:hint="eastAsia" w:ascii="宋体" w:hAnsi="宋体" w:cs="宋体"/>
          <w:bCs/>
          <w:sz w:val="24"/>
          <w:highlight w:val="none"/>
          <w:lang w:val="en-US" w:eastAsia="zh-CN"/>
        </w:rPr>
        <w:t>日</w:t>
      </w:r>
      <w:r>
        <w:rPr>
          <w:rFonts w:hint="default" w:ascii="宋体" w:hAnsi="宋体" w:cs="宋体"/>
          <w:bCs/>
          <w:sz w:val="24"/>
          <w:highlight w:val="none"/>
          <w:lang w:val="en-US" w:eastAsia="zh-CN"/>
        </w:rPr>
        <w:t>（含）以上开放日发生巨额赎回的</w:t>
      </w:r>
      <w:r>
        <w:rPr>
          <w:rFonts w:hint="eastAsia" w:ascii="宋体" w:hAnsi="宋体" w:cs="宋体"/>
          <w:bCs/>
          <w:sz w:val="24"/>
          <w:highlight w:val="none"/>
          <w:lang w:val="en-US" w:eastAsia="zh-CN"/>
        </w:rPr>
        <w:t>情形时。</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当前</w:t>
      </w:r>
      <w:r>
        <w:rPr>
          <w:rFonts w:hint="default" w:ascii="宋体" w:hAnsi="宋体" w:cs="宋体"/>
          <w:bCs/>
          <w:sz w:val="24"/>
          <w:highlight w:val="none"/>
          <w:lang w:val="en-US" w:eastAsia="zh-CN"/>
        </w:rPr>
        <w:t>一估值日</w:t>
      </w:r>
      <w:r>
        <w:rPr>
          <w:rFonts w:hint="eastAsia" w:ascii="宋体" w:hAnsi="宋体" w:cs="宋体"/>
          <w:bCs/>
          <w:sz w:val="24"/>
          <w:highlight w:val="none"/>
          <w:lang w:val="en-US" w:eastAsia="zh-CN"/>
        </w:rPr>
        <w:t>理财计划</w:t>
      </w:r>
      <w:r>
        <w:rPr>
          <w:rFonts w:hint="default" w:ascii="宋体" w:hAnsi="宋体" w:cs="宋体"/>
          <w:bCs/>
          <w:sz w:val="24"/>
          <w:highlight w:val="none"/>
          <w:lang w:val="en-US" w:eastAsia="zh-CN"/>
        </w:rPr>
        <w:t>资产净值50%以上的资产不具备活跃交易市场或者在活跃市场中无报价，且不能采用估值技术可靠计量公允价值</w:t>
      </w:r>
      <w:r>
        <w:rPr>
          <w:rFonts w:hint="eastAsia" w:ascii="宋体" w:hAnsi="宋体" w:cs="宋体"/>
          <w:bCs/>
          <w:sz w:val="24"/>
          <w:highlight w:val="none"/>
          <w:lang w:val="en-US" w:eastAsia="zh-CN"/>
        </w:rPr>
        <w:t>的情形</w:t>
      </w:r>
      <w:r>
        <w:rPr>
          <w:rFonts w:hint="default" w:ascii="宋体" w:hAnsi="宋体" w:cs="宋体"/>
          <w:bCs/>
          <w:sz w:val="24"/>
          <w:highlight w:val="none"/>
          <w:lang w:val="en-US" w:eastAsia="zh-CN"/>
        </w:rPr>
        <w:t>时</w:t>
      </w:r>
      <w:r>
        <w:rPr>
          <w:rFonts w:hint="eastAsia" w:ascii="宋体" w:hAnsi="宋体" w:cs="宋体"/>
          <w:bCs/>
          <w:sz w:val="24"/>
          <w:highlight w:val="none"/>
          <w:lang w:val="en-US" w:eastAsia="zh-CN"/>
        </w:rPr>
        <w:t>。</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法律法规规定或监管机构认定的其他情形。</w:t>
      </w:r>
    </w:p>
    <w:p>
      <w:pPr>
        <w:numPr>
          <w:ilvl w:val="0"/>
          <w:numId w:val="45"/>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到期清算</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w:t>
      </w:r>
      <w:r>
        <w:rPr>
          <w:rFonts w:hint="eastAsia" w:ascii="宋体" w:hAnsi="宋体" w:cs="宋体"/>
          <w:bCs/>
          <w:sz w:val="24"/>
          <w:highlight w:val="none"/>
          <w:lang w:val="en-US" w:eastAsia="zh-CN"/>
        </w:rPr>
        <w:t>1</w:t>
      </w:r>
      <w:r>
        <w:rPr>
          <w:rFonts w:hint="eastAsia" w:ascii="宋体" w:hAnsi="宋体" w:cs="宋体"/>
          <w:bCs/>
          <w:sz w:val="24"/>
          <w:highlight w:val="none"/>
        </w:rPr>
        <w:t>〗个工作日、最晚〖</w:t>
      </w:r>
      <w:r>
        <w:rPr>
          <w:rFonts w:hint="eastAsia" w:ascii="宋体" w:hAnsi="宋体" w:cs="宋体"/>
          <w:bCs/>
          <w:sz w:val="24"/>
          <w:highlight w:val="none"/>
          <w:lang w:val="en-US" w:eastAsia="zh-CN"/>
        </w:rPr>
        <w:t>3</w:t>
      </w:r>
      <w:r>
        <w:rPr>
          <w:rFonts w:hint="eastAsia" w:ascii="宋体" w:hAnsi="宋体" w:cs="宋体"/>
          <w:bCs/>
          <w:sz w:val="24"/>
          <w:highlight w:val="none"/>
        </w:rPr>
        <w:t>〗个工作日内（遇节假日顺延）将资金按规定的要求划入投资者授权指定的理财账户。</w:t>
      </w:r>
      <w:r>
        <w:rPr>
          <w:rFonts w:hint="eastAsia" w:ascii="宋体" w:hAnsi="宋体" w:cs="宋体"/>
          <w:color w:val="000000"/>
          <w:kern w:val="0"/>
          <w:sz w:val="24"/>
          <w:szCs w:val="24"/>
          <w:highlight w:val="none"/>
        </w:rPr>
        <w:t>（具体以销售机构规定为准）</w:t>
      </w:r>
    </w:p>
    <w:p>
      <w:pPr>
        <w:numPr>
          <w:ilvl w:val="0"/>
          <w:numId w:val="45"/>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sz w:val="24"/>
          <w:szCs w:val="24"/>
          <w:highlight w:val="none"/>
          <w:lang w:val="en-US" w:eastAsia="zh-CN"/>
        </w:rPr>
        <w:t>1</w:t>
      </w:r>
      <w:r>
        <w:rPr>
          <w:rFonts w:hint="eastAsia" w:ascii="宋体" w:hAnsi="宋体" w:cs="宋体"/>
          <w:bCs/>
          <w:color w:val="000000"/>
          <w:sz w:val="24"/>
          <w:highlight w:val="none"/>
        </w:rPr>
        <w:t>〗</w:t>
      </w:r>
      <w:r>
        <w:rPr>
          <w:rFonts w:hint="eastAsia" w:ascii="宋体" w:hAnsi="宋体" w:cs="宋体"/>
          <w:bCs/>
          <w:sz w:val="24"/>
          <w:highlight w:val="none"/>
        </w:rPr>
        <w:t>个工作日通过管理人或销售机构发布提前终止公告，并于终止日后</w:t>
      </w:r>
      <w:r>
        <w:rPr>
          <w:rFonts w:hint="eastAsia" w:ascii="宋体" w:hAnsi="宋体" w:cs="宋体"/>
          <w:sz w:val="24"/>
          <w:szCs w:val="24"/>
          <w:highlight w:val="none"/>
        </w:rPr>
        <w:t>〖</w:t>
      </w:r>
      <w:r>
        <w:rPr>
          <w:rFonts w:hint="eastAsia" w:ascii="宋体" w:hAnsi="宋体" w:cs="宋体"/>
          <w:szCs w:val="21"/>
          <w:highlight w:val="none"/>
          <w:lang w:val="en-US" w:eastAsia="zh-CN"/>
        </w:rPr>
        <w:t>3</w:t>
      </w:r>
      <w:r>
        <w:rPr>
          <w:rFonts w:hint="eastAsia" w:ascii="宋体" w:hAnsi="宋体" w:cs="宋体"/>
          <w:bCs/>
          <w:color w:val="000000"/>
          <w:sz w:val="24"/>
          <w:highlight w:val="none"/>
        </w:rPr>
        <w:t>〗</w:t>
      </w:r>
      <w:r>
        <w:rPr>
          <w:rFonts w:hint="eastAsia" w:ascii="宋体" w:hAnsi="宋体" w:cs="宋体"/>
          <w:bCs/>
          <w:sz w:val="24"/>
          <w:highlight w:val="none"/>
        </w:rPr>
        <w:t>个工作日内将可兑付款项按规定的要求划入投资者授权指定的理财账户。终止日至资金实际到账日之间，投资者资金不计息。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w:t>
      </w:r>
      <w:r>
        <w:rPr>
          <w:rFonts w:hint="eastAsia" w:ascii="宋体" w:hAnsi="宋体" w:cs="宋体"/>
          <w:b/>
          <w:sz w:val="24"/>
          <w:highlight w:val="none"/>
          <w:lang w:eastAsia="zh-CN"/>
        </w:rPr>
        <w:t>或部分</w:t>
      </w:r>
      <w:r>
        <w:rPr>
          <w:rFonts w:hint="eastAsia" w:ascii="宋体" w:hAnsi="宋体" w:cs="宋体"/>
          <w:b/>
          <w:sz w:val="24"/>
          <w:highlight w:val="none"/>
        </w:rPr>
        <w:t>提前终止权：</w:t>
      </w:r>
    </w:p>
    <w:p>
      <w:pPr>
        <w:numPr>
          <w:ilvl w:val="0"/>
          <w:numId w:val="54"/>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54"/>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54"/>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54"/>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54"/>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市场收益率大幅波动，可能或实质影响理财计划投资收益的。</w:t>
      </w:r>
    </w:p>
    <w:p>
      <w:pPr>
        <w:numPr>
          <w:ilvl w:val="0"/>
          <w:numId w:val="54"/>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lang w:eastAsia="zh-CN"/>
        </w:rPr>
        <w:t>融资人行使提前到期或还款权利的。</w:t>
      </w:r>
    </w:p>
    <w:p>
      <w:pPr>
        <w:numPr>
          <w:ilvl w:val="0"/>
          <w:numId w:val="54"/>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45"/>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28"/>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信息披露</w:t>
      </w:r>
    </w:p>
    <w:p>
      <w:pPr>
        <w:numPr>
          <w:ilvl w:val="0"/>
          <w:numId w:val="5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5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58"/>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58"/>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5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59"/>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理财计划净值：管理人应在理财计划成立后，每个开放确认日后</w:t>
      </w:r>
      <w:r>
        <w:rPr>
          <w:rFonts w:hint="eastAsia" w:ascii="宋体" w:hAnsi="宋体" w:cs="宋体"/>
          <w:bCs/>
          <w:color w:val="000000"/>
          <w:sz w:val="24"/>
          <w:highlight w:val="none"/>
          <w:lang w:val="en-US" w:eastAsia="zh-CN"/>
        </w:rPr>
        <w:t>2</w:t>
      </w:r>
      <w:r>
        <w:rPr>
          <w:rFonts w:hint="eastAsia" w:ascii="宋体" w:hAnsi="宋体" w:cs="宋体"/>
          <w:bCs/>
          <w:color w:val="000000"/>
          <w:sz w:val="24"/>
          <w:highlight w:val="none"/>
        </w:rPr>
        <w:t>个工作日内披露本理财计划净值。</w:t>
      </w:r>
    </w:p>
    <w:p>
      <w:pPr>
        <w:numPr>
          <w:ilvl w:val="0"/>
          <w:numId w:val="59"/>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highlight w:val="none"/>
        </w:rPr>
        <w:t>理财产品成立不足90个工作日或者存续期不超过90个工作日的，不编制理财产品当期的季度、半年和年度报告。</w:t>
      </w:r>
    </w:p>
    <w:p>
      <w:pPr>
        <w:numPr>
          <w:ilvl w:val="0"/>
          <w:numId w:val="59"/>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5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6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lang w:eastAsia="zh-CN"/>
        </w:rPr>
        <w:t>应在发生可能对理财计划投资者或者理财计划收益产</w:t>
      </w:r>
      <w:r>
        <w:rPr>
          <w:rFonts w:hint="eastAsia" w:ascii="宋体" w:hAnsi="宋体" w:cs="宋体"/>
          <w:bCs/>
          <w:color w:val="000000"/>
          <w:sz w:val="24"/>
          <w:highlight w:val="none"/>
        </w:rPr>
        <w:t>生重大事项的事件后2个工作日内发布重大事项公告。</w:t>
      </w:r>
    </w:p>
    <w:p>
      <w:pPr>
        <w:numPr>
          <w:ilvl w:val="0"/>
          <w:numId w:val="60"/>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5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28"/>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其他</w:t>
      </w:r>
    </w:p>
    <w:p>
      <w:pPr>
        <w:numPr>
          <w:ilvl w:val="0"/>
          <w:numId w:val="6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6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p>
    <w:p>
      <w:pPr>
        <w:numPr>
          <w:ilvl w:val="0"/>
          <w:numId w:val="6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eastAsia="zh-CN"/>
        </w:rPr>
        <w:t>销售机构或</w:t>
      </w:r>
      <w:r>
        <w:rPr>
          <w:rFonts w:hint="eastAsia" w:ascii="宋体" w:hAnsi="宋体" w:cs="宋体"/>
          <w:bCs/>
          <w:color w:val="000000"/>
          <w:sz w:val="24"/>
          <w:highlight w:val="none"/>
        </w:rPr>
        <w:t>管理人所在地有管辖权的人民法院诉讼解决。</w:t>
      </w:r>
    </w:p>
    <w:p>
      <w:pPr>
        <w:numPr>
          <w:ilvl w:val="0"/>
          <w:numId w:val="6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spacing w:line="360" w:lineRule="auto"/>
        <w:jc w:val="center"/>
        <w:outlineLvl w:val="0"/>
        <w:rPr>
          <w:rFonts w:hint="eastAsia" w:ascii="宋体" w:hAnsi="宋体" w:cs="宋体"/>
          <w:b/>
          <w:bCs/>
          <w:color w:val="000000"/>
          <w:sz w:val="44"/>
          <w:szCs w:val="44"/>
          <w:highlight w:val="none"/>
        </w:rPr>
      </w:pPr>
      <w:r>
        <w:rPr>
          <w:rFonts w:hint="eastAsia" w:ascii="宋体" w:hAnsi="宋体" w:cs="宋体"/>
          <w:bCs/>
          <w:color w:val="000000"/>
          <w:sz w:val="24"/>
          <w:highlight w:val="none"/>
        </w:rPr>
        <w:br w:type="page"/>
      </w:r>
      <w:r>
        <w:rPr>
          <w:rFonts w:hint="eastAsia" w:ascii="宋体" w:hAnsi="宋体" w:cs="宋体"/>
          <w:b/>
          <w:bCs/>
          <w:color w:val="000000"/>
          <w:sz w:val="44"/>
          <w:szCs w:val="44"/>
          <w:highlight w:val="none"/>
        </w:rPr>
        <w:t>杭银理财投资者权益须知</w:t>
      </w:r>
    </w:p>
    <w:p>
      <w:pPr>
        <w:jc w:val="center"/>
        <w:rPr>
          <w:rFonts w:hint="eastAsia" w:ascii="宋体" w:hAnsi="宋体" w:cs="宋体"/>
          <w:b/>
          <w:bCs/>
          <w:color w:val="000000"/>
          <w:sz w:val="44"/>
          <w:szCs w:val="44"/>
          <w:highlight w:val="none"/>
        </w:rPr>
      </w:pPr>
      <w:r>
        <w:rPr>
          <w:rFonts w:hint="eastAsia" w:ascii="宋体" w:hAnsi="宋体" w:cs="宋体"/>
          <w:sz w:val="28"/>
          <w:szCs w:val="28"/>
          <w:highlight w:val="none"/>
        </w:rPr>
        <w:t>（202</w:t>
      </w:r>
      <w:r>
        <w:rPr>
          <w:rFonts w:hint="eastAsia" w:ascii="宋体" w:hAnsi="宋体" w:cs="宋体"/>
          <w:sz w:val="28"/>
          <w:szCs w:val="28"/>
          <w:highlight w:val="none"/>
          <w:lang w:val="en-US" w:eastAsia="zh-CN"/>
        </w:rPr>
        <w:t>2</w:t>
      </w:r>
      <w:r>
        <w:rPr>
          <w:rFonts w:hint="eastAsia" w:ascii="宋体" w:hAnsi="宋体" w:cs="宋体"/>
          <w:sz w:val="28"/>
          <w:szCs w:val="28"/>
          <w:highlight w:val="none"/>
        </w:rPr>
        <w:t>01版）</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尊敬的投资者：</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62"/>
        </w:numPr>
        <w:spacing w:line="360" w:lineRule="auto"/>
        <w:ind w:firstLine="482" w:firstLineChars="200"/>
        <w:outlineLvl w:val="1"/>
        <w:rPr>
          <w:rFonts w:hint="eastAsia" w:ascii="宋体" w:hAnsi="宋体" w:cs="宋体"/>
          <w:b/>
          <w:kern w:val="0"/>
          <w:sz w:val="24"/>
          <w:highlight w:val="none"/>
        </w:rPr>
      </w:pPr>
      <w:r>
        <w:rPr>
          <w:rFonts w:hint="eastAsia" w:ascii="宋体" w:hAnsi="宋体" w:cs="宋体"/>
          <w:b/>
          <w:kern w:val="0"/>
          <w:sz w:val="24"/>
          <w:highlight w:val="none"/>
        </w:rPr>
        <w:t>理财计划办理流程</w:t>
      </w:r>
    </w:p>
    <w:p>
      <w:pPr>
        <w:numPr>
          <w:ilvl w:val="0"/>
          <w:numId w:val="63"/>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63"/>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首次在销售机构购买杭银理财理财计划的个人投资者须接受并完成销售机构对您的风险承受能力评估，并确认风险承受能力等级不低于本理财计划风险评级。</w:t>
      </w:r>
    </w:p>
    <w:p>
      <w:pPr>
        <w:numPr>
          <w:ilvl w:val="0"/>
          <w:numId w:val="63"/>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投资者应仔细阅读本理财计划完整合同（包括但不限于</w:t>
      </w:r>
      <w:r>
        <w:rPr>
          <w:rFonts w:hint="eastAsia" w:ascii="宋体" w:hAnsi="宋体" w:cs="宋体"/>
          <w:kern w:val="0"/>
          <w:sz w:val="24"/>
          <w:highlight w:val="none"/>
          <w:lang w:eastAsia="zh-CN"/>
        </w:rPr>
        <w:t>理财计划</w:t>
      </w:r>
      <w:r>
        <w:rPr>
          <w:rFonts w:hint="eastAsia" w:ascii="宋体" w:hAnsi="宋体" w:cs="宋体"/>
          <w:kern w:val="0"/>
          <w:sz w:val="24"/>
          <w:highlight w:val="none"/>
        </w:rPr>
        <w:t>风险揭示书、理财计划产品说明书、投资者权益须知</w:t>
      </w:r>
      <w:r>
        <w:rPr>
          <w:rFonts w:hint="eastAsia" w:ascii="宋体" w:hAnsi="宋体" w:cs="宋体"/>
          <w:kern w:val="0"/>
          <w:sz w:val="24"/>
          <w:highlight w:val="none"/>
          <w:lang w:eastAsia="zh-CN"/>
        </w:rPr>
        <w:t>、</w:t>
      </w:r>
      <w:r>
        <w:rPr>
          <w:rFonts w:hint="eastAsia" w:ascii="宋体" w:hAnsi="宋体" w:cs="宋体"/>
          <w:kern w:val="0"/>
          <w:sz w:val="24"/>
          <w:highlight w:val="none"/>
        </w:rPr>
        <w:t>理财计划投资协议书</w:t>
      </w:r>
      <w:r>
        <w:rPr>
          <w:rFonts w:hint="eastAsia" w:ascii="宋体" w:hAnsi="宋体" w:cs="宋体"/>
          <w:kern w:val="0"/>
          <w:sz w:val="24"/>
          <w:highlight w:val="none"/>
          <w:lang w:eastAsia="zh-CN"/>
        </w:rPr>
        <w:t>和理财计划销售协议书</w:t>
      </w:r>
      <w:r>
        <w:rPr>
          <w:rFonts w:hint="eastAsia" w:ascii="宋体" w:hAnsi="宋体" w:cs="宋体"/>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63"/>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63"/>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如在银行营业场所购买杭银理财理财计划，销售机构需对每笔理财计划销售过程同步录音录像。</w:t>
      </w:r>
    </w:p>
    <w:p>
      <w:pPr>
        <w:numPr>
          <w:ilvl w:val="0"/>
          <w:numId w:val="63"/>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投资者确定交易金额，完成交易申请，并在确认份额后进行查询。</w:t>
      </w:r>
    </w:p>
    <w:p>
      <w:pPr>
        <w:numPr>
          <w:ilvl w:val="0"/>
          <w:numId w:val="64"/>
        </w:numPr>
        <w:spacing w:line="360" w:lineRule="auto"/>
        <w:ind w:firstLine="482" w:firstLineChars="200"/>
        <w:outlineLvl w:val="1"/>
        <w:rPr>
          <w:rFonts w:hint="eastAsia" w:ascii="宋体" w:hAnsi="宋体" w:cs="宋体"/>
          <w:b/>
          <w:kern w:val="0"/>
          <w:sz w:val="24"/>
          <w:highlight w:val="none"/>
        </w:rPr>
      </w:pPr>
      <w:r>
        <w:rPr>
          <w:rFonts w:hint="eastAsia" w:ascii="宋体" w:hAnsi="宋体" w:cs="宋体"/>
          <w:b/>
          <w:kern w:val="0"/>
          <w:sz w:val="24"/>
          <w:highlight w:val="none"/>
        </w:rPr>
        <w:t>杭银理财产品风险评级</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kern w:val="0"/>
                <w:sz w:val="24"/>
                <w:highlight w:val="none"/>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cs="宋体"/>
                <w:kern w:val="0"/>
                <w:sz w:val="24"/>
                <w:highlight w:val="none"/>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kern w:val="0"/>
                <w:sz w:val="24"/>
                <w:highlight w:val="none"/>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cs="宋体"/>
                <w:kern w:val="0"/>
                <w:sz w:val="24"/>
                <w:highlight w:val="none"/>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kern w:val="0"/>
                <w:sz w:val="24"/>
                <w:highlight w:val="none"/>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cs="宋体"/>
                <w:kern w:val="0"/>
                <w:sz w:val="24"/>
                <w:highlight w:val="none"/>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4" w:hRule="atLeast"/>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kern w:val="0"/>
                <w:sz w:val="24"/>
                <w:highlight w:val="none"/>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cs="宋体"/>
                <w:kern w:val="0"/>
                <w:sz w:val="24"/>
                <w:highlight w:val="none"/>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kern w:val="0"/>
                <w:sz w:val="24"/>
                <w:highlight w:val="none"/>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cs="宋体"/>
                <w:kern w:val="0"/>
                <w:sz w:val="24"/>
                <w:highlight w:val="none"/>
              </w:rPr>
              <w:t>机构投资者及进取型的个人投资者</w:t>
            </w:r>
          </w:p>
        </w:tc>
      </w:tr>
    </w:tbl>
    <w:p>
      <w:pPr>
        <w:numPr>
          <w:ilvl w:val="0"/>
          <w:numId w:val="0"/>
        </w:numPr>
        <w:spacing w:line="360" w:lineRule="auto"/>
        <w:ind w:leftChars="200"/>
        <w:outlineLvl w:val="1"/>
        <w:rPr>
          <w:rFonts w:hint="eastAsia" w:ascii="宋体" w:hAnsi="宋体" w:cs="宋体"/>
          <w:b/>
          <w:kern w:val="0"/>
          <w:sz w:val="24"/>
          <w:highlight w:val="none"/>
        </w:rPr>
      </w:pPr>
      <w:r>
        <w:rPr>
          <w:rFonts w:hint="eastAsia" w:ascii="宋体" w:hAnsi="宋体" w:cs="宋体"/>
          <w:bCs/>
          <w:color w:val="auto"/>
          <w:kern w:val="2"/>
          <w:highlight w:val="none"/>
          <w:lang w:eastAsia="zh-CN"/>
        </w:rPr>
        <w:t>投资者风险承受能力评级水平以销售机构评估为准。</w:t>
      </w:r>
    </w:p>
    <w:p>
      <w:pPr>
        <w:numPr>
          <w:ilvl w:val="0"/>
          <w:numId w:val="65"/>
        </w:numPr>
        <w:spacing w:line="360" w:lineRule="auto"/>
        <w:ind w:firstLine="482" w:firstLineChars="200"/>
        <w:outlineLvl w:val="1"/>
        <w:rPr>
          <w:rFonts w:hint="eastAsia" w:ascii="宋体" w:hAnsi="宋体" w:cs="宋体"/>
          <w:b/>
          <w:kern w:val="0"/>
          <w:sz w:val="24"/>
          <w:highlight w:val="none"/>
        </w:rPr>
      </w:pPr>
      <w:r>
        <w:rPr>
          <w:rFonts w:hint="eastAsia" w:ascii="宋体" w:hAnsi="宋体" w:cs="宋体"/>
          <w:b/>
          <w:kern w:val="0"/>
          <w:sz w:val="24"/>
          <w:highlight w:val="none"/>
        </w:rPr>
        <w:t>投资者风险承受能力评估</w:t>
      </w:r>
    </w:p>
    <w:p>
      <w:pPr>
        <w:numPr>
          <w:ilvl w:val="0"/>
          <w:numId w:val="66"/>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66"/>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66"/>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个人投资者风险承受能力评估流程（详询销售机构工作人员）</w:t>
      </w:r>
    </w:p>
    <w:p>
      <w:pPr>
        <w:numPr>
          <w:ilvl w:val="0"/>
          <w:numId w:val="67"/>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个人投资者在销售机构进行风险承受能力评估；</w:t>
      </w:r>
    </w:p>
    <w:p>
      <w:pPr>
        <w:numPr>
          <w:ilvl w:val="0"/>
          <w:numId w:val="67"/>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填写销售机构个人投资者风险承受能力测试问卷；</w:t>
      </w:r>
    </w:p>
    <w:p>
      <w:pPr>
        <w:numPr>
          <w:ilvl w:val="0"/>
          <w:numId w:val="67"/>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生成相应的个人投资者风险承受能力评估结果；</w:t>
      </w:r>
    </w:p>
    <w:p>
      <w:pPr>
        <w:numPr>
          <w:ilvl w:val="0"/>
          <w:numId w:val="67"/>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投资者对评估结果进行确认。</w:t>
      </w:r>
    </w:p>
    <w:p>
      <w:pPr>
        <w:numPr>
          <w:ilvl w:val="0"/>
          <w:numId w:val="68"/>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68"/>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68"/>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kern w:val="0"/>
          <w:sz w:val="24"/>
          <w:highlight w:val="none"/>
          <w:lang w:eastAsia="zh-CN"/>
        </w:rPr>
        <w:t>理财计划风险揭示书、理财计划</w:t>
      </w:r>
      <w:r>
        <w:rPr>
          <w:rFonts w:hint="eastAsia" w:ascii="宋体" w:hAnsi="宋体" w:cs="宋体"/>
          <w:kern w:val="0"/>
          <w:sz w:val="24"/>
          <w:highlight w:val="none"/>
        </w:rPr>
        <w:t>产品说明书</w:t>
      </w:r>
      <w:r>
        <w:rPr>
          <w:rFonts w:hint="eastAsia" w:ascii="宋体" w:hAnsi="宋体" w:cs="宋体"/>
          <w:kern w:val="0"/>
          <w:sz w:val="24"/>
          <w:highlight w:val="none"/>
          <w:lang w:eastAsia="zh-CN"/>
        </w:rPr>
        <w:t>、理财计划投资协议书和理财计划销售协议书</w:t>
      </w:r>
      <w:r>
        <w:rPr>
          <w:rFonts w:hint="eastAsia" w:ascii="宋体" w:hAnsi="宋体" w:cs="宋体"/>
          <w:kern w:val="0"/>
          <w:sz w:val="24"/>
          <w:highlight w:val="none"/>
        </w:rPr>
        <w:t>的基础上，充分认识投资本理财计划需要承担的风险。</w:t>
      </w:r>
    </w:p>
    <w:p>
      <w:pPr>
        <w:spacing w:line="360" w:lineRule="auto"/>
        <w:ind w:firstLine="482" w:firstLineChars="200"/>
        <w:outlineLvl w:val="1"/>
        <w:rPr>
          <w:rFonts w:hint="eastAsia" w:ascii="宋体" w:hAnsi="宋体" w:cs="宋体"/>
          <w:b/>
          <w:kern w:val="0"/>
          <w:sz w:val="24"/>
          <w:highlight w:val="none"/>
        </w:rPr>
      </w:pPr>
      <w:r>
        <w:rPr>
          <w:rFonts w:hint="eastAsia" w:ascii="宋体" w:hAnsi="宋体" w:cs="宋体"/>
          <w:b/>
          <w:kern w:val="0"/>
          <w:sz w:val="24"/>
          <w:highlight w:val="none"/>
        </w:rPr>
        <w:t>四、理财计划信息披露</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1"/>
        <w:rPr>
          <w:rFonts w:hint="eastAsia" w:ascii="宋体" w:hAnsi="宋体" w:cs="宋体"/>
          <w:b/>
          <w:kern w:val="0"/>
          <w:sz w:val="24"/>
          <w:highlight w:val="none"/>
        </w:rPr>
      </w:pPr>
      <w:r>
        <w:rPr>
          <w:rFonts w:hint="eastAsia" w:ascii="宋体" w:hAnsi="宋体" w:cs="宋体"/>
          <w:b/>
          <w:kern w:val="0"/>
          <w:sz w:val="24"/>
          <w:highlight w:val="none"/>
        </w:rPr>
        <w:t>五、投资者信息管理</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1"/>
        <w:rPr>
          <w:rFonts w:hint="eastAsia" w:ascii="宋体" w:hAnsi="宋体" w:cs="宋体"/>
          <w:b/>
          <w:kern w:val="0"/>
          <w:sz w:val="24"/>
        </w:rPr>
      </w:pPr>
      <w:r>
        <w:rPr>
          <w:rFonts w:hint="eastAsia" w:ascii="宋体" w:hAnsi="宋体" w:cs="宋体"/>
          <w:b/>
          <w:kern w:val="0"/>
          <w:sz w:val="24"/>
        </w:rPr>
        <w:t>六、投诉与建议</w:t>
      </w:r>
    </w:p>
    <w:p>
      <w:pPr>
        <w:numPr>
          <w:ilvl w:val="0"/>
          <w:numId w:val="69"/>
        </w:numPr>
        <w:spacing w:line="360" w:lineRule="auto"/>
        <w:outlineLvl w:val="2"/>
        <w:rPr>
          <w:rFonts w:hint="eastAsia" w:ascii="宋体" w:hAnsi="宋体" w:cs="宋体"/>
          <w:kern w:val="0"/>
          <w:sz w:val="24"/>
        </w:rPr>
      </w:pPr>
      <w:r>
        <w:rPr>
          <w:rFonts w:hint="eastAsia" w:ascii="宋体" w:hAnsi="宋体" w:cs="宋体"/>
          <w:kern w:val="0"/>
          <w:sz w:val="24"/>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69"/>
        </w:numPr>
        <w:spacing w:line="360" w:lineRule="auto"/>
        <w:outlineLvl w:val="2"/>
        <w:rPr>
          <w:rFonts w:hint="eastAsia" w:ascii="宋体" w:hAnsi="宋体" w:cs="宋体"/>
          <w:kern w:val="0"/>
          <w:sz w:val="24"/>
        </w:rPr>
      </w:pPr>
      <w:r>
        <w:rPr>
          <w:rFonts w:hint="eastAsia" w:ascii="宋体" w:hAnsi="宋体" w:cs="宋体"/>
          <w:kern w:val="0"/>
          <w:sz w:val="24"/>
        </w:rPr>
        <w:t>投诉流程及联络方式</w:t>
      </w:r>
    </w:p>
    <w:p>
      <w:pPr>
        <w:numPr>
          <w:ilvl w:val="0"/>
          <w:numId w:val="0"/>
        </w:numPr>
        <w:spacing w:line="360" w:lineRule="auto"/>
        <w:ind w:firstLine="480" w:firstLineChars="200"/>
        <w:outlineLvl w:val="2"/>
        <w:rPr>
          <w:rFonts w:hint="eastAsia" w:ascii="宋体" w:hAnsi="宋体" w:cs="宋体"/>
          <w:kern w:val="0"/>
          <w:sz w:val="24"/>
        </w:rPr>
      </w:pPr>
      <w:r>
        <w:rPr>
          <w:rFonts w:hint="eastAsia" w:ascii="宋体" w:hAnsi="宋体" w:cs="宋体"/>
          <w:kern w:val="0"/>
          <w:sz w:val="24"/>
        </w:rPr>
        <w:t>投资者若需投诉，请随时拔打石嘴山银行(销售机构)24小时客户服务热线:96789;投资者也可拨打理财产品销售文件上载明的理财服务人员联系电话、销售网点联系电话进行投诉。</w:t>
      </w:r>
    </w:p>
    <w:p>
      <w:pPr>
        <w:numPr>
          <w:ilvl w:val="0"/>
          <w:numId w:val="0"/>
        </w:numPr>
        <w:spacing w:line="360" w:lineRule="auto"/>
        <w:ind w:firstLine="480" w:firstLineChars="200"/>
        <w:outlineLvl w:val="2"/>
        <w:rPr>
          <w:rFonts w:hint="eastAsia" w:ascii="宋体" w:hAnsi="宋体" w:cs="宋体"/>
          <w:kern w:val="0"/>
          <w:sz w:val="24"/>
        </w:rPr>
      </w:pPr>
      <w:r>
        <w:rPr>
          <w:rFonts w:hint="eastAsia" w:ascii="宋体" w:hAnsi="宋体" w:cs="宋体"/>
          <w:kern w:val="0"/>
          <w:sz w:val="24"/>
        </w:rPr>
        <w:t>相关部门和人员将在接到投资者的投诉后，按照以下流程进行处理:核实交易记录和交易情形、调查理财服务人员、形成反馈意见、反馈投资者并征询意见、按一致意见处理投诉等</w:t>
      </w:r>
    </w:p>
    <w:p>
      <w:pPr>
        <w:numPr>
          <w:ilvl w:val="0"/>
          <w:numId w:val="0"/>
        </w:numPr>
        <w:spacing w:line="360" w:lineRule="auto"/>
        <w:ind w:firstLine="480" w:firstLineChars="200"/>
        <w:outlineLvl w:val="2"/>
        <w:rPr>
          <w:rFonts w:hint="eastAsia" w:ascii="宋体" w:hAnsi="宋体" w:cs="宋体"/>
          <w:kern w:val="0"/>
          <w:sz w:val="24"/>
        </w:rPr>
      </w:pPr>
      <w:r>
        <w:rPr>
          <w:rFonts w:hint="eastAsia" w:ascii="宋体" w:hAnsi="宋体" w:cs="宋体"/>
          <w:kern w:val="0"/>
          <w:sz w:val="24"/>
        </w:rPr>
        <w:t>石嘴山银行官网网站:www.szsccb.com。</w:t>
      </w:r>
    </w:p>
    <w:p>
      <w:pPr>
        <w:numPr>
          <w:ilvl w:val="0"/>
          <w:numId w:val="69"/>
        </w:numPr>
        <w:spacing w:line="360" w:lineRule="auto"/>
        <w:outlineLvl w:val="2"/>
        <w:rPr>
          <w:rFonts w:hint="eastAsia" w:ascii="宋体" w:hAnsi="宋体" w:eastAsia="宋体" w:cs="宋体"/>
          <w:kern w:val="0"/>
          <w:sz w:val="24"/>
        </w:rPr>
      </w:pPr>
      <w:r>
        <w:rPr>
          <w:rFonts w:hint="eastAsia" w:ascii="宋体" w:hAnsi="宋体" w:eastAsia="宋体" w:cs="宋体"/>
          <w:kern w:val="0"/>
          <w:sz w:val="24"/>
        </w:rPr>
        <w:t>杭银理财联络方式：</w:t>
      </w:r>
    </w:p>
    <w:p>
      <w:pPr>
        <w:numPr>
          <w:ilvl w:val="0"/>
          <w:numId w:val="70"/>
        </w:numPr>
        <w:spacing w:line="360" w:lineRule="auto"/>
        <w:rPr>
          <w:rFonts w:hint="eastAsia" w:ascii="宋体" w:hAnsi="宋体" w:cs="宋体"/>
          <w:kern w:val="0"/>
          <w:sz w:val="24"/>
        </w:rPr>
      </w:pPr>
      <w:r>
        <w:rPr>
          <w:rFonts w:hint="eastAsia" w:ascii="宋体" w:hAnsi="宋体" w:cs="宋体"/>
          <w:kern w:val="0"/>
          <w:sz w:val="24"/>
        </w:rPr>
        <w:t>杭银理财联络方式：</w:t>
      </w:r>
    </w:p>
    <w:p>
      <w:pPr>
        <w:spacing w:line="360" w:lineRule="auto"/>
        <w:ind w:firstLine="480" w:firstLineChars="200"/>
        <w:rPr>
          <w:rFonts w:hint="eastAsia" w:ascii="宋体" w:hAnsi="宋体" w:cs="宋体"/>
          <w:kern w:val="0"/>
          <w:sz w:val="24"/>
          <w:u w:val="single"/>
        </w:rPr>
      </w:pPr>
      <w:r>
        <w:rPr>
          <w:rFonts w:hint="eastAsia" w:ascii="宋体" w:hAnsi="宋体" w:cs="宋体"/>
          <w:kern w:val="0"/>
          <w:sz w:val="24"/>
        </w:rPr>
        <w:t>官方网站：</w:t>
      </w:r>
      <w:r>
        <w:fldChar w:fldCharType="begin"/>
      </w:r>
      <w:r>
        <w:rPr>
          <w:rFonts w:ascii="宋体" w:hAnsi="宋体" w:cs="宋体"/>
          <w:kern w:val="0"/>
          <w:sz w:val="24"/>
        </w:rPr>
        <w:instrText xml:space="preserve"> HYPERLINK "https://www.hzbankwealth.com.cn/" \t "_blank" </w:instrText>
      </w:r>
      <w:r>
        <w:fldChar w:fldCharType="separate"/>
      </w:r>
      <w:r>
        <w:rPr>
          <w:rFonts w:ascii="宋体" w:hAnsi="宋体" w:cs="宋体"/>
          <w:kern w:val="0"/>
          <w:sz w:val="24"/>
        </w:rPr>
        <w:t>https://www.hzbankwealth.com.cn</w:t>
      </w:r>
      <w:r>
        <w:fldChar w:fldCharType="end"/>
      </w:r>
    </w:p>
    <w:p>
      <w:pPr>
        <w:spacing w:line="360" w:lineRule="auto"/>
        <w:ind w:firstLine="480" w:firstLineChars="200"/>
        <w:rPr>
          <w:rFonts w:ascii="宋体" w:hAnsi="宋体" w:cs="宋体"/>
          <w:kern w:val="0"/>
          <w:sz w:val="24"/>
        </w:rPr>
      </w:pPr>
      <w:r>
        <w:rPr>
          <w:rFonts w:hint="eastAsia" w:ascii="宋体" w:hAnsi="宋体" w:cs="宋体"/>
          <w:kern w:val="0"/>
          <w:sz w:val="24"/>
        </w:rPr>
        <w:t>客户服务热线：400-8950-999</w:t>
      </w:r>
    </w:p>
    <w:p>
      <w:pPr>
        <w:spacing w:line="360" w:lineRule="auto"/>
        <w:ind w:firstLine="480" w:firstLineChars="200"/>
        <w:rPr>
          <w:rFonts w:hint="eastAsia" w:ascii="宋体" w:hAnsi="宋体" w:cs="宋体"/>
          <w:kern w:val="0"/>
          <w:sz w:val="24"/>
        </w:rPr>
      </w:pPr>
      <w:r>
        <w:rPr>
          <w:rFonts w:hint="eastAsia" w:ascii="宋体" w:hAnsi="宋体" w:cs="宋体"/>
          <w:kern w:val="0"/>
          <w:sz w:val="24"/>
        </w:rPr>
        <w:t>公司地址：杭州市拱墅区庆春路38号金龙财富中心6楼</w:t>
      </w:r>
    </w:p>
    <w:p>
      <w:pPr>
        <w:spacing w:line="360" w:lineRule="auto"/>
        <w:jc w:val="center"/>
        <w:outlineLvl w:val="0"/>
        <w:rPr>
          <w:rFonts w:hint="eastAsia"/>
          <w:b/>
          <w:sz w:val="44"/>
          <w:szCs w:val="44"/>
          <w:highlight w:val="none"/>
        </w:rPr>
      </w:pPr>
      <w:r>
        <w:rPr>
          <w:rFonts w:hint="eastAsia" w:ascii="宋体" w:hAnsi="宋体" w:cs="宋体"/>
          <w:kern w:val="0"/>
          <w:sz w:val="24"/>
        </w:rPr>
        <w:t>若上述联系方式变更，杭银理财将提前通过官方网站及时告知投资者。</w:t>
      </w:r>
      <w:bookmarkStart w:id="0" w:name="_GoBack"/>
      <w:bookmarkEnd w:id="0"/>
      <w:r>
        <w:rPr>
          <w:rFonts w:hint="eastAsia"/>
          <w:b/>
          <w:sz w:val="44"/>
          <w:szCs w:val="44"/>
          <w:highlight w:val="none"/>
        </w:rPr>
        <w:br w:type="page"/>
      </w:r>
      <w:r>
        <w:rPr>
          <w:rFonts w:hint="eastAsia"/>
          <w:b/>
          <w:sz w:val="44"/>
          <w:szCs w:val="44"/>
          <w:highlight w:val="none"/>
        </w:rPr>
        <w:t>杭银理财理财计划投资协议书</w:t>
      </w:r>
    </w:p>
    <w:p>
      <w:pPr>
        <w:jc w:val="center"/>
        <w:rPr>
          <w:rFonts w:hint="eastAsia"/>
          <w:b/>
          <w:sz w:val="44"/>
          <w:szCs w:val="44"/>
          <w:highlight w:val="none"/>
        </w:rPr>
      </w:pPr>
      <w:r>
        <w:rPr>
          <w:rFonts w:hint="eastAsia" w:ascii="宋体" w:hAnsi="宋体" w:cs="宋体"/>
          <w:sz w:val="28"/>
          <w:szCs w:val="28"/>
          <w:highlight w:val="none"/>
        </w:rPr>
        <w:t>（202</w:t>
      </w:r>
      <w:r>
        <w:rPr>
          <w:rFonts w:hint="eastAsia" w:ascii="宋体" w:hAnsi="宋体" w:cs="宋体"/>
          <w:sz w:val="28"/>
          <w:szCs w:val="28"/>
          <w:highlight w:val="none"/>
          <w:lang w:val="en-US" w:eastAsia="zh-CN"/>
        </w:rPr>
        <w:t>2</w:t>
      </w:r>
      <w:r>
        <w:rPr>
          <w:rFonts w:hint="eastAsia" w:ascii="宋体" w:hAnsi="宋体" w:cs="宋体"/>
          <w:sz w:val="28"/>
          <w:szCs w:val="28"/>
          <w:highlight w:val="none"/>
        </w:rPr>
        <w:t>01版）</w:t>
      </w:r>
    </w:p>
    <w:p>
      <w:pPr>
        <w:spacing w:line="360" w:lineRule="auto"/>
        <w:jc w:val="center"/>
        <w:rPr>
          <w:rFonts w:hint="eastAsia"/>
          <w:b/>
          <w:sz w:val="32"/>
          <w:szCs w:val="32"/>
          <w:highlight w:val="none"/>
        </w:rPr>
      </w:pPr>
      <w:r>
        <w:rPr>
          <w:rFonts w:hint="eastAsia" w:ascii="宋体" w:hAnsi="宋体" w:cs="宋体"/>
          <w:b/>
          <w:bCs/>
          <w:sz w:val="24"/>
          <w:highlight w:val="none"/>
          <w:u w:val="single"/>
        </w:rPr>
        <w:t>理财非存款、产品有风险、投资须谨慎</w:t>
      </w:r>
    </w:p>
    <w:p>
      <w:pPr>
        <w:spacing w:line="360" w:lineRule="auto"/>
        <w:ind w:firstLine="482" w:firstLineChars="200"/>
        <w:rPr>
          <w:rFonts w:hint="eastAsia"/>
          <w:b/>
          <w:bCs/>
          <w:sz w:val="24"/>
          <w:highlight w:val="none"/>
        </w:rPr>
      </w:pPr>
      <w:r>
        <w:rPr>
          <w:rFonts w:hint="eastAsia"/>
          <w:b/>
          <w:bCs/>
          <w:sz w:val="24"/>
          <w:highlight w:val="none"/>
        </w:rPr>
        <w:t>特别提示：杭银理财理财计划投资协议书与</w:t>
      </w:r>
      <w:r>
        <w:rPr>
          <w:rFonts w:hint="eastAsia"/>
          <w:b/>
          <w:bCs/>
          <w:sz w:val="24"/>
          <w:highlight w:val="none"/>
          <w:lang w:eastAsia="zh-CN"/>
        </w:rPr>
        <w:t>理财计划风险揭示书、理财计划产品说明书、</w:t>
      </w:r>
      <w:r>
        <w:rPr>
          <w:rFonts w:hint="eastAsia"/>
          <w:b/>
          <w:bCs/>
          <w:sz w:val="24"/>
          <w:highlight w:val="none"/>
        </w:rPr>
        <w:t>投资者权益须知</w:t>
      </w:r>
      <w:r>
        <w:rPr>
          <w:rFonts w:hint="eastAsia"/>
          <w:b/>
          <w:bCs/>
          <w:sz w:val="24"/>
          <w:highlight w:val="none"/>
          <w:lang w:eastAsia="zh-CN"/>
        </w:rPr>
        <w:t>及理财计划销售协议书</w:t>
      </w:r>
      <w:r>
        <w:rPr>
          <w:rFonts w:hint="eastAsia"/>
          <w:b/>
          <w:bCs/>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sz w:val="24"/>
          <w:highlight w:val="none"/>
        </w:rPr>
      </w:pPr>
      <w:r>
        <w:rPr>
          <w:rFonts w:hint="eastAsia"/>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sz w:val="24"/>
          <w:highlight w:val="none"/>
        </w:rPr>
      </w:pPr>
    </w:p>
    <w:p>
      <w:pPr>
        <w:numPr>
          <w:ilvl w:val="0"/>
          <w:numId w:val="71"/>
        </w:numPr>
        <w:spacing w:line="360" w:lineRule="auto"/>
        <w:ind w:firstLine="482" w:firstLineChars="200"/>
        <w:outlineLvl w:val="1"/>
        <w:rPr>
          <w:rFonts w:hint="eastAsia" w:ascii="宋体" w:hAnsi="宋体"/>
          <w:b/>
          <w:bCs/>
          <w:sz w:val="24"/>
          <w:highlight w:val="none"/>
        </w:rPr>
      </w:pPr>
      <w:r>
        <w:rPr>
          <w:rFonts w:hint="eastAsia"/>
          <w:b/>
          <w:bCs/>
          <w:sz w:val="24"/>
          <w:highlight w:val="none"/>
        </w:rPr>
        <w:t>名词释义</w:t>
      </w:r>
    </w:p>
    <w:p>
      <w:pPr>
        <w:spacing w:line="360" w:lineRule="auto"/>
        <w:ind w:firstLine="480" w:firstLineChars="200"/>
        <w:rPr>
          <w:rFonts w:hint="eastAsia"/>
          <w:bCs/>
          <w:sz w:val="24"/>
          <w:highlight w:val="none"/>
        </w:rPr>
      </w:pPr>
      <w:r>
        <w:rPr>
          <w:rFonts w:hint="eastAsia"/>
          <w:bCs/>
          <w:sz w:val="24"/>
          <w:highlight w:val="none"/>
        </w:rPr>
        <w:t>详见理财计划说明书“释义”部分。</w:t>
      </w:r>
    </w:p>
    <w:p>
      <w:pPr>
        <w:spacing w:line="360" w:lineRule="auto"/>
        <w:ind w:firstLine="480" w:firstLineChars="200"/>
        <w:rPr>
          <w:rFonts w:hint="eastAsia"/>
          <w:bCs/>
          <w:sz w:val="24"/>
          <w:highlight w:val="none"/>
        </w:rPr>
      </w:pPr>
    </w:p>
    <w:p>
      <w:pPr>
        <w:numPr>
          <w:ilvl w:val="0"/>
          <w:numId w:val="71"/>
        </w:numPr>
        <w:spacing w:line="360" w:lineRule="auto"/>
        <w:ind w:firstLine="482" w:firstLineChars="200"/>
        <w:outlineLvl w:val="1"/>
        <w:rPr>
          <w:rFonts w:hint="eastAsia"/>
          <w:b/>
          <w:sz w:val="24"/>
          <w:highlight w:val="none"/>
        </w:rPr>
      </w:pPr>
      <w:r>
        <w:rPr>
          <w:rFonts w:hint="eastAsia"/>
          <w:b/>
          <w:sz w:val="24"/>
          <w:highlight w:val="none"/>
        </w:rPr>
        <w:t>投资者权利与义务</w:t>
      </w:r>
    </w:p>
    <w:p>
      <w:pPr>
        <w:widowControl/>
        <w:numPr>
          <w:ilvl w:val="0"/>
          <w:numId w:val="72"/>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w:t>
      </w:r>
    </w:p>
    <w:p>
      <w:pPr>
        <w:widowControl/>
        <w:numPr>
          <w:ilvl w:val="0"/>
          <w:numId w:val="72"/>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投资者保证自身完全了解理财投资的性质，投资所涉及的风险以及自身风险承受能力，在慎重考虑后独立作出交易决定。</w:t>
      </w:r>
    </w:p>
    <w:p>
      <w:pPr>
        <w:widowControl/>
        <w:numPr>
          <w:ilvl w:val="0"/>
          <w:numId w:val="72"/>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投资者保证其有权利签署本协议和履行本协议所述的义务，并已为此采取一切所需的行为。</w:t>
      </w:r>
    </w:p>
    <w:p>
      <w:pPr>
        <w:widowControl/>
        <w:numPr>
          <w:ilvl w:val="0"/>
          <w:numId w:val="72"/>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72"/>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72"/>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72"/>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本协议终止前，投资者不得将授权指定账户销户。若发生因投资者注销授权指定账户造成理财计划无法正常兑付的，管理人不承担任何责任。</w:t>
      </w:r>
    </w:p>
    <w:p>
      <w:pPr>
        <w:widowControl/>
        <w:numPr>
          <w:ilvl w:val="0"/>
          <w:numId w:val="72"/>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72"/>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投资者进行投资时，应严格遵守反洗钱相关法规的规定，切实履行反洗钱及反恐怖融资义务。</w:t>
      </w:r>
    </w:p>
    <w:p>
      <w:pPr>
        <w:spacing w:line="360" w:lineRule="auto"/>
        <w:ind w:left="482"/>
        <w:rPr>
          <w:b/>
          <w:sz w:val="24"/>
          <w:highlight w:val="none"/>
        </w:rPr>
      </w:pPr>
    </w:p>
    <w:p>
      <w:pPr>
        <w:numPr>
          <w:ilvl w:val="0"/>
          <w:numId w:val="71"/>
        </w:numPr>
        <w:spacing w:line="360" w:lineRule="auto"/>
        <w:ind w:firstLine="482" w:firstLineChars="200"/>
        <w:outlineLvl w:val="1"/>
        <w:rPr>
          <w:rFonts w:hint="eastAsia"/>
          <w:b/>
          <w:sz w:val="24"/>
          <w:highlight w:val="none"/>
        </w:rPr>
      </w:pPr>
      <w:r>
        <w:rPr>
          <w:rFonts w:hint="eastAsia"/>
          <w:b/>
          <w:sz w:val="24"/>
          <w:highlight w:val="none"/>
        </w:rPr>
        <w:t>管理人权利与义务</w:t>
      </w:r>
    </w:p>
    <w:p>
      <w:pPr>
        <w:widowControl/>
        <w:numPr>
          <w:ilvl w:val="0"/>
          <w:numId w:val="73"/>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管理人应当诚实守信、勤勉尽责地履行受人之托、代人理财职责。 </w:t>
      </w:r>
    </w:p>
    <w:p>
      <w:pPr>
        <w:widowControl/>
        <w:numPr>
          <w:ilvl w:val="0"/>
          <w:numId w:val="73"/>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管理人应当按照理财计划销售文件的约定收取管理费用、确定收益分配方案、向投资者分配收益。 </w:t>
      </w:r>
    </w:p>
    <w:p>
      <w:pPr>
        <w:widowControl/>
        <w:numPr>
          <w:ilvl w:val="0"/>
          <w:numId w:val="73"/>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管理人应当按照理财计划销售文件的约定履行风险揭示及信息披露义务。 </w:t>
      </w:r>
    </w:p>
    <w:p>
      <w:pPr>
        <w:widowControl/>
        <w:numPr>
          <w:ilvl w:val="0"/>
          <w:numId w:val="73"/>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管理人应当确保理财业务与其他业务相分离，理财计划之间相分离，理财业务操作与其他业务操作相分离。 </w:t>
      </w:r>
    </w:p>
    <w:p>
      <w:pPr>
        <w:widowControl/>
        <w:numPr>
          <w:ilvl w:val="0"/>
          <w:numId w:val="73"/>
        </w:numPr>
        <w:spacing w:line="360" w:lineRule="auto"/>
        <w:ind w:firstLine="480" w:firstLineChars="200"/>
        <w:contextualSpacing/>
        <w:outlineLvl w:val="2"/>
        <w:rPr>
          <w:rFonts w:ascii="宋体" w:hAnsi="宋体"/>
          <w:sz w:val="24"/>
          <w:highlight w:val="none"/>
        </w:rPr>
      </w:pPr>
      <w:r>
        <w:rPr>
          <w:rFonts w:ascii="宋体" w:hAnsi="宋体"/>
          <w:sz w:val="24"/>
          <w:highlight w:val="none"/>
        </w:rPr>
        <w:t>管理人不得将理财</w:t>
      </w:r>
      <w:r>
        <w:rPr>
          <w:rFonts w:hint="eastAsia" w:ascii="宋体" w:hAnsi="宋体"/>
          <w:sz w:val="24"/>
          <w:highlight w:val="none"/>
        </w:rPr>
        <w:t>计划</w:t>
      </w:r>
      <w:r>
        <w:rPr>
          <w:rFonts w:ascii="宋体" w:hAnsi="宋体"/>
          <w:sz w:val="24"/>
          <w:highlight w:val="none"/>
        </w:rPr>
        <w:t>财产归入其自有资产</w:t>
      </w:r>
      <w:r>
        <w:rPr>
          <w:rFonts w:hint="eastAsia" w:ascii="宋体" w:hAnsi="宋体"/>
          <w:sz w:val="24"/>
          <w:highlight w:val="none"/>
        </w:rPr>
        <w:t>，</w:t>
      </w:r>
      <w:r>
        <w:rPr>
          <w:rFonts w:ascii="宋体" w:hAnsi="宋体"/>
          <w:sz w:val="24"/>
          <w:highlight w:val="none"/>
        </w:rPr>
        <w:t>因依法解散</w:t>
      </w:r>
      <w:r>
        <w:rPr>
          <w:rFonts w:hint="eastAsia" w:ascii="宋体" w:hAnsi="宋体"/>
          <w:sz w:val="24"/>
          <w:highlight w:val="none"/>
        </w:rPr>
        <w:t>、</w:t>
      </w:r>
      <w:r>
        <w:rPr>
          <w:rFonts w:ascii="宋体" w:hAnsi="宋体"/>
          <w:sz w:val="24"/>
          <w:highlight w:val="none"/>
        </w:rPr>
        <w:t>被依法撤销或者被依法宣告破产等原因进行清算的</w:t>
      </w:r>
      <w:r>
        <w:rPr>
          <w:rFonts w:hint="eastAsia" w:ascii="宋体" w:hAnsi="宋体"/>
          <w:sz w:val="24"/>
          <w:highlight w:val="none"/>
        </w:rPr>
        <w:t>，</w:t>
      </w:r>
      <w:r>
        <w:rPr>
          <w:rFonts w:ascii="宋体" w:hAnsi="宋体"/>
          <w:sz w:val="24"/>
          <w:highlight w:val="none"/>
        </w:rPr>
        <w:t>理财</w:t>
      </w:r>
      <w:r>
        <w:rPr>
          <w:rFonts w:hint="eastAsia" w:ascii="宋体" w:hAnsi="宋体"/>
          <w:sz w:val="24"/>
          <w:highlight w:val="none"/>
        </w:rPr>
        <w:t>计划</w:t>
      </w:r>
      <w:r>
        <w:rPr>
          <w:rFonts w:ascii="宋体" w:hAnsi="宋体"/>
          <w:sz w:val="24"/>
          <w:highlight w:val="none"/>
        </w:rPr>
        <w:t>财产不属于其清算财产</w:t>
      </w:r>
      <w:r>
        <w:rPr>
          <w:rFonts w:hint="eastAsia" w:ascii="宋体" w:hAnsi="宋体"/>
          <w:sz w:val="24"/>
          <w:highlight w:val="none"/>
        </w:rPr>
        <w:t>。</w:t>
      </w:r>
    </w:p>
    <w:p>
      <w:pPr>
        <w:widowControl/>
        <w:numPr>
          <w:ilvl w:val="0"/>
          <w:numId w:val="73"/>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73"/>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73"/>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管理人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 </w:t>
      </w:r>
    </w:p>
    <w:p>
      <w:pPr>
        <w:widowControl/>
        <w:numPr>
          <w:ilvl w:val="0"/>
          <w:numId w:val="73"/>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sz w:val="24"/>
          <w:highlight w:val="none"/>
        </w:rPr>
      </w:pPr>
    </w:p>
    <w:p>
      <w:pPr>
        <w:numPr>
          <w:ilvl w:val="0"/>
          <w:numId w:val="71"/>
        </w:numPr>
        <w:spacing w:line="360" w:lineRule="auto"/>
        <w:ind w:firstLine="482" w:firstLineChars="200"/>
        <w:outlineLvl w:val="1"/>
        <w:rPr>
          <w:rFonts w:hint="eastAsia"/>
          <w:b/>
          <w:sz w:val="24"/>
          <w:highlight w:val="none"/>
        </w:rPr>
      </w:pPr>
      <w:r>
        <w:rPr>
          <w:rFonts w:hint="eastAsia"/>
          <w:b/>
          <w:sz w:val="24"/>
          <w:highlight w:val="none"/>
        </w:rPr>
        <w:t>理财计划认（申）购、赎回及终止</w:t>
      </w:r>
    </w:p>
    <w:p>
      <w:pPr>
        <w:widowControl/>
        <w:numPr>
          <w:ilvl w:val="0"/>
          <w:numId w:val="74"/>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理财计划认/申购办理流程：参照《投资者权益须知》约定。 </w:t>
      </w:r>
    </w:p>
    <w:p>
      <w:pPr>
        <w:widowControl/>
        <w:numPr>
          <w:ilvl w:val="0"/>
          <w:numId w:val="74"/>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74"/>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74"/>
        </w:numPr>
        <w:spacing w:line="360" w:lineRule="auto"/>
        <w:ind w:firstLine="480" w:firstLineChars="200"/>
        <w:contextualSpacing/>
        <w:outlineLvl w:val="2"/>
        <w:rPr>
          <w:rFonts w:hint="eastAsia" w:ascii="宋体" w:hAnsi="宋体"/>
          <w:sz w:val="24"/>
          <w:highlight w:val="none"/>
        </w:rPr>
      </w:pPr>
      <w:r>
        <w:rPr>
          <w:rFonts w:hint="eastAsia" w:ascii="宋体" w:hAnsi="宋体"/>
          <w:sz w:val="24"/>
          <w:highlight w:val="none"/>
        </w:rPr>
        <w:t xml:space="preserve">理财计划投资品种、投资起点金额、收益支付方式：参照对应期次的《理财计划产品说明书》中的条款约定。 </w:t>
      </w:r>
    </w:p>
    <w:p>
      <w:pPr>
        <w:widowControl/>
        <w:numPr>
          <w:ilvl w:val="0"/>
          <w:numId w:val="74"/>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理财计划赎回/终止兑付：在正常情况下，管理人和代销机构将按照对应期次的《理财计划产品说明书》相关约定，将兑付款项划入投资者</w:t>
      </w:r>
      <w:r>
        <w:rPr>
          <w:rFonts w:hint="eastAsia" w:ascii="宋体" w:hAnsi="宋体"/>
          <w:sz w:val="24"/>
          <w:highlight w:val="none"/>
          <w:lang w:val="en-US" w:eastAsia="zh-CN"/>
        </w:rPr>
        <w:t>在</w:t>
      </w:r>
      <w:r>
        <w:rPr>
          <w:rFonts w:hint="eastAsia" w:ascii="宋体" w:hAnsi="宋体"/>
          <w:sz w:val="24"/>
          <w:highlight w:val="none"/>
        </w:rPr>
        <w:t>理财计划销售文件</w:t>
      </w:r>
      <w:r>
        <w:rPr>
          <w:rFonts w:hint="eastAsia" w:ascii="宋体" w:hAnsi="宋体"/>
          <w:sz w:val="24"/>
          <w:highlight w:val="none"/>
          <w:lang w:val="en-US" w:eastAsia="zh-CN"/>
        </w:rPr>
        <w:t>中授权的</w:t>
      </w:r>
      <w:r>
        <w:rPr>
          <w:rFonts w:hint="eastAsia" w:ascii="宋体" w:hAnsi="宋体"/>
          <w:sz w:val="24"/>
          <w:highlight w:val="none"/>
        </w:rPr>
        <w:t>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74"/>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sz w:val="24"/>
          <w:highlight w:val="none"/>
        </w:rPr>
      </w:pPr>
    </w:p>
    <w:p>
      <w:pPr>
        <w:numPr>
          <w:ilvl w:val="0"/>
          <w:numId w:val="71"/>
        </w:numPr>
        <w:spacing w:line="360" w:lineRule="auto"/>
        <w:ind w:firstLine="482" w:firstLineChars="200"/>
        <w:outlineLvl w:val="1"/>
        <w:rPr>
          <w:rFonts w:hint="eastAsia"/>
          <w:b/>
          <w:sz w:val="24"/>
          <w:highlight w:val="none"/>
        </w:rPr>
      </w:pPr>
      <w:r>
        <w:rPr>
          <w:rFonts w:hint="eastAsia"/>
          <w:b/>
          <w:sz w:val="24"/>
          <w:highlight w:val="none"/>
        </w:rPr>
        <w:t>税收处理</w:t>
      </w:r>
    </w:p>
    <w:p>
      <w:pPr>
        <w:widowControl/>
        <w:spacing w:line="360" w:lineRule="auto"/>
        <w:ind w:firstLine="480" w:firstLineChars="200"/>
        <w:contextualSpacing/>
        <w:rPr>
          <w:rFonts w:hint="eastAsia" w:ascii="宋体" w:hAnsi="宋体"/>
          <w:sz w:val="24"/>
          <w:highlight w:val="none"/>
        </w:rPr>
      </w:pPr>
      <w:r>
        <w:rPr>
          <w:rFonts w:hint="eastAsia" w:ascii="宋体" w:hAnsi="宋体"/>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sz w:val="24"/>
          <w:highlight w:val="none"/>
        </w:rPr>
      </w:pPr>
    </w:p>
    <w:p>
      <w:pPr>
        <w:numPr>
          <w:ilvl w:val="0"/>
          <w:numId w:val="71"/>
        </w:numPr>
        <w:spacing w:line="360" w:lineRule="auto"/>
        <w:ind w:firstLine="482" w:firstLineChars="200"/>
        <w:outlineLvl w:val="1"/>
        <w:rPr>
          <w:rFonts w:hint="eastAsia"/>
          <w:b/>
          <w:sz w:val="24"/>
          <w:highlight w:val="none"/>
        </w:rPr>
      </w:pPr>
      <w:r>
        <w:rPr>
          <w:rFonts w:hint="eastAsia"/>
          <w:b/>
          <w:sz w:val="24"/>
          <w:highlight w:val="none"/>
        </w:rPr>
        <w:t>违约责任及免责条款</w:t>
      </w:r>
    </w:p>
    <w:p>
      <w:pPr>
        <w:widowControl/>
        <w:numPr>
          <w:ilvl w:val="0"/>
          <w:numId w:val="75"/>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sz w:val="24"/>
          <w:highlight w:val="none"/>
          <w:lang w:eastAsia="zh-CN"/>
        </w:rPr>
        <w:t>赎回</w:t>
      </w:r>
      <w:r>
        <w:rPr>
          <w:rFonts w:hint="eastAsia" w:ascii="宋体" w:hAnsi="宋体"/>
          <w:sz w:val="24"/>
          <w:highlight w:val="none"/>
        </w:rPr>
        <w:t>，本合同自动终止。因提前终止而产生的损失及相关费用由投资者承担。本合同前述情况终止的，理财本金不计付</w:t>
      </w:r>
      <w:r>
        <w:rPr>
          <w:rFonts w:hint="eastAsia" w:ascii="宋体" w:hAnsi="宋体"/>
          <w:sz w:val="24"/>
          <w:highlight w:val="none"/>
          <w:lang w:eastAsia="zh-CN"/>
        </w:rPr>
        <w:t>赎回</w:t>
      </w:r>
      <w:r>
        <w:rPr>
          <w:rFonts w:hint="eastAsia" w:ascii="宋体" w:hAnsi="宋体"/>
          <w:sz w:val="24"/>
          <w:highlight w:val="none"/>
        </w:rPr>
        <w:t>日前的理财收益，也不计付存款利息。</w:t>
      </w:r>
    </w:p>
    <w:p>
      <w:pPr>
        <w:widowControl/>
        <w:numPr>
          <w:ilvl w:val="0"/>
          <w:numId w:val="75"/>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75"/>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75"/>
        </w:numPr>
        <w:spacing w:line="360" w:lineRule="auto"/>
        <w:ind w:firstLine="480" w:firstLineChars="200"/>
        <w:contextualSpacing/>
        <w:outlineLvl w:val="2"/>
        <w:rPr>
          <w:rFonts w:hint="eastAsia" w:ascii="宋体" w:hAnsi="宋体"/>
          <w:sz w:val="24"/>
          <w:highlight w:val="none"/>
        </w:rPr>
      </w:pPr>
      <w:r>
        <w:rPr>
          <w:rFonts w:hint="eastAsia" w:ascii="宋体" w:hAnsi="宋体"/>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75"/>
        </w:numPr>
        <w:spacing w:line="360" w:lineRule="auto"/>
        <w:ind w:firstLine="480" w:firstLineChars="200"/>
        <w:contextualSpacing/>
        <w:outlineLvl w:val="2"/>
        <w:rPr>
          <w:rFonts w:hint="eastAsia" w:ascii="宋体" w:hAnsi="宋体"/>
          <w:sz w:val="24"/>
          <w:highlight w:val="none"/>
        </w:rPr>
      </w:pPr>
      <w:r>
        <w:rPr>
          <w:rFonts w:hint="eastAsia" w:ascii="宋体" w:hAnsi="宋体"/>
          <w:sz w:val="24"/>
          <w:highlight w:val="none"/>
        </w:rPr>
        <w:t>因国家有关法律、法规、规章、政策的修改或新的法律、法规、规章、政策颁布以及紧急措施的出台导致的风险及损失，管理人不承担责任。</w:t>
      </w:r>
    </w:p>
    <w:p>
      <w:pPr>
        <w:widowControl/>
        <w:numPr>
          <w:ilvl w:val="0"/>
          <w:numId w:val="75"/>
        </w:numPr>
        <w:spacing w:line="360" w:lineRule="auto"/>
        <w:ind w:firstLine="480" w:firstLineChars="200"/>
        <w:contextualSpacing/>
        <w:outlineLvl w:val="2"/>
        <w:rPr>
          <w:rFonts w:hint="eastAsia" w:ascii="宋体" w:hAnsi="宋体"/>
          <w:sz w:val="24"/>
          <w:highlight w:val="none"/>
        </w:rPr>
      </w:pPr>
      <w:r>
        <w:rPr>
          <w:rFonts w:hint="eastAsia" w:ascii="宋体" w:hAnsi="宋体"/>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sz w:val="24"/>
          <w:highlight w:val="none"/>
        </w:rPr>
      </w:pPr>
    </w:p>
    <w:p>
      <w:pPr>
        <w:numPr>
          <w:ilvl w:val="0"/>
          <w:numId w:val="71"/>
        </w:numPr>
        <w:spacing w:line="360" w:lineRule="auto"/>
        <w:ind w:firstLine="482" w:firstLineChars="200"/>
        <w:outlineLvl w:val="1"/>
        <w:rPr>
          <w:b/>
          <w:sz w:val="24"/>
          <w:highlight w:val="none"/>
        </w:rPr>
      </w:pPr>
      <w:r>
        <w:rPr>
          <w:rFonts w:hint="eastAsia"/>
          <w:b/>
          <w:sz w:val="24"/>
          <w:highlight w:val="none"/>
        </w:rPr>
        <w:t>适用法律与争议解决</w:t>
      </w:r>
    </w:p>
    <w:p>
      <w:pPr>
        <w:widowControl/>
        <w:spacing w:line="360" w:lineRule="auto"/>
        <w:ind w:firstLine="480" w:firstLineChars="200"/>
        <w:contextualSpacing/>
        <w:rPr>
          <w:rFonts w:ascii="宋体" w:hAnsi="宋体"/>
          <w:sz w:val="24"/>
          <w:highlight w:val="none"/>
        </w:rPr>
      </w:pPr>
      <w:r>
        <w:rPr>
          <w:rFonts w:hint="eastAsia" w:ascii="宋体" w:hAnsi="宋体"/>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sz w:val="24"/>
          <w:highlight w:val="none"/>
        </w:rPr>
        <w:t>的法律和行政法规。本合同项下的及与之有关的一切争议，投资者与管理人双方应首先协商解决，协商不成的，应提交</w:t>
      </w:r>
      <w:r>
        <w:rPr>
          <w:rFonts w:hint="eastAsia" w:ascii="宋体" w:hAnsi="宋体"/>
          <w:sz w:val="24"/>
          <w:highlight w:val="none"/>
          <w:lang w:eastAsia="zh-CN"/>
        </w:rPr>
        <w:t>销售机构或</w:t>
      </w:r>
      <w:r>
        <w:rPr>
          <w:rFonts w:hint="eastAsia" w:ascii="宋体" w:hAnsi="宋体"/>
          <w:sz w:val="24"/>
          <w:highlight w:val="none"/>
        </w:rPr>
        <w:t>管理人所在地人民法院司法裁决。诉讼期间，未涉及争议的条款仍需继续履行。</w:t>
      </w:r>
    </w:p>
    <w:p>
      <w:pPr>
        <w:spacing w:line="360" w:lineRule="auto"/>
        <w:ind w:left="482"/>
        <w:rPr>
          <w:b/>
          <w:sz w:val="24"/>
          <w:highlight w:val="none"/>
        </w:rPr>
      </w:pPr>
    </w:p>
    <w:p>
      <w:pPr>
        <w:numPr>
          <w:ilvl w:val="0"/>
          <w:numId w:val="71"/>
        </w:numPr>
        <w:spacing w:line="360" w:lineRule="auto"/>
        <w:ind w:firstLine="482" w:firstLineChars="200"/>
        <w:outlineLvl w:val="1"/>
        <w:rPr>
          <w:rFonts w:hint="eastAsia"/>
          <w:b/>
          <w:sz w:val="24"/>
          <w:highlight w:val="none"/>
        </w:rPr>
      </w:pPr>
      <w:r>
        <w:rPr>
          <w:rFonts w:hint="eastAsia"/>
          <w:b/>
          <w:sz w:val="24"/>
          <w:highlight w:val="none"/>
        </w:rPr>
        <w:t>协议生效和终止</w:t>
      </w:r>
    </w:p>
    <w:p>
      <w:pPr>
        <w:widowControl/>
        <w:numPr>
          <w:ilvl w:val="0"/>
          <w:numId w:val="76"/>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投资者和管理人双方认可本协议可以纸质或电子数据等形式提交、订立或确认。 </w:t>
      </w:r>
    </w:p>
    <w:p>
      <w:pPr>
        <w:widowControl/>
        <w:numPr>
          <w:ilvl w:val="0"/>
          <w:numId w:val="76"/>
        </w:numPr>
        <w:spacing w:line="360" w:lineRule="auto"/>
        <w:ind w:firstLine="480" w:firstLineChars="200"/>
        <w:contextualSpacing/>
        <w:outlineLvl w:val="2"/>
        <w:rPr>
          <w:rFonts w:hint="eastAsia" w:ascii="宋体" w:hAnsi="宋体"/>
          <w:sz w:val="24"/>
          <w:highlight w:val="none"/>
        </w:rPr>
      </w:pPr>
      <w:r>
        <w:rPr>
          <w:rFonts w:hint="eastAsia" w:ascii="宋体" w:hAnsi="宋体"/>
          <w:sz w:val="24"/>
          <w:highlight w:val="none"/>
        </w:rPr>
        <w:t>本协议书以纸质书面形式订立的，自投资者签字和销售机构代表管理人签署盖章之后立即生效。协议一式</w:t>
      </w:r>
      <w:r>
        <w:rPr>
          <w:rFonts w:hint="eastAsia" w:ascii="宋体" w:hAnsi="宋体"/>
          <w:sz w:val="24"/>
          <w:highlight w:val="none"/>
          <w:lang w:eastAsia="zh-CN"/>
        </w:rPr>
        <w:t>贰</w:t>
      </w:r>
      <w:r>
        <w:rPr>
          <w:rFonts w:hint="eastAsia" w:ascii="宋体" w:hAnsi="宋体"/>
          <w:sz w:val="24"/>
          <w:highlight w:val="none"/>
        </w:rPr>
        <w:t>份，投资者和管理人双方各执</w:t>
      </w:r>
      <w:r>
        <w:rPr>
          <w:rFonts w:hint="eastAsia" w:ascii="宋体" w:hAnsi="宋体"/>
          <w:sz w:val="24"/>
          <w:highlight w:val="none"/>
          <w:lang w:eastAsia="zh-CN"/>
        </w:rPr>
        <w:t>壹</w:t>
      </w:r>
      <w:r>
        <w:rPr>
          <w:rFonts w:hint="eastAsia" w:ascii="宋体" w:hAnsi="宋体"/>
          <w:sz w:val="24"/>
          <w:highlight w:val="none"/>
        </w:rPr>
        <w:t xml:space="preserve">份，具有同等法律效力。 </w:t>
      </w:r>
    </w:p>
    <w:p>
      <w:pPr>
        <w:widowControl/>
        <w:numPr>
          <w:ilvl w:val="0"/>
          <w:numId w:val="76"/>
        </w:numPr>
        <w:spacing w:line="360" w:lineRule="auto"/>
        <w:ind w:firstLine="480" w:firstLineChars="200"/>
        <w:contextualSpacing/>
        <w:outlineLvl w:val="2"/>
        <w:rPr>
          <w:rFonts w:hint="eastAsia" w:ascii="宋体" w:hAnsi="宋体"/>
          <w:sz w:val="24"/>
          <w:highlight w:val="none"/>
        </w:rPr>
      </w:pPr>
      <w:r>
        <w:rPr>
          <w:rFonts w:hint="eastAsia" w:ascii="宋体" w:hAnsi="宋体"/>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76"/>
        </w:numPr>
        <w:spacing w:line="360" w:lineRule="auto"/>
        <w:ind w:firstLine="480" w:firstLineChars="200"/>
        <w:contextualSpacing/>
        <w:outlineLvl w:val="2"/>
        <w:rPr>
          <w:rFonts w:hint="eastAsia" w:ascii="宋体" w:hAnsi="宋体"/>
          <w:sz w:val="24"/>
          <w:highlight w:val="none"/>
        </w:rPr>
      </w:pPr>
      <w:r>
        <w:rPr>
          <w:rFonts w:hint="eastAsia" w:ascii="宋体" w:hAnsi="宋体"/>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sz w:val="24"/>
          <w:highlight w:val="none"/>
        </w:rPr>
      </w:pPr>
    </w:p>
    <w:p>
      <w:pPr>
        <w:numPr>
          <w:ilvl w:val="0"/>
          <w:numId w:val="71"/>
        </w:numPr>
        <w:spacing w:line="360" w:lineRule="auto"/>
        <w:ind w:firstLine="482" w:firstLineChars="200"/>
        <w:outlineLvl w:val="1"/>
        <w:rPr>
          <w:b/>
          <w:sz w:val="24"/>
          <w:highlight w:val="none"/>
        </w:rPr>
      </w:pPr>
      <w:r>
        <w:rPr>
          <w:rFonts w:hint="eastAsia"/>
          <w:b/>
          <w:sz w:val="24"/>
          <w:highlight w:val="none"/>
        </w:rPr>
        <w:t>附则</w:t>
      </w:r>
    </w:p>
    <w:p>
      <w:pPr>
        <w:widowControl/>
        <w:numPr>
          <w:ilvl w:val="0"/>
          <w:numId w:val="77"/>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如果投资者与管理人之间存在多份理财计划协议书，则每一份协议书分别与其所对应的产品说明书等销售文本单独构成一个理财计划交易合同，各个合同之间互相独立，每一合同的效力及履行情况均独立于其他合同。</w:t>
      </w:r>
    </w:p>
    <w:p>
      <w:pPr>
        <w:widowControl/>
        <w:numPr>
          <w:ilvl w:val="0"/>
          <w:numId w:val="77"/>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如果由于任何原因使本合同下的任何条款或内容成为无效或被依法撤销，本合同其他条款或内容的合法性、有效性和可执行性不受影响。</w:t>
      </w:r>
    </w:p>
    <w:p>
      <w:pPr>
        <w:widowControl/>
        <w:numPr>
          <w:ilvl w:val="0"/>
          <w:numId w:val="77"/>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在理财计划存续期内，如因监管政策或法律法规发生变化，在不损害投资者利益的前提下，管理人有权单方对理财计划合同进行修订。</w:t>
      </w:r>
    </w:p>
    <w:p>
      <w:pPr>
        <w:spacing w:line="360" w:lineRule="auto"/>
        <w:ind w:firstLine="480" w:firstLineChars="200"/>
        <w:rPr>
          <w:rFonts w:ascii="宋体" w:hAnsi="宋体" w:cs="宋体"/>
          <w:bCs/>
          <w:color w:val="000000"/>
          <w:sz w:val="24"/>
          <w:highlight w:val="none"/>
        </w:rPr>
      </w:pPr>
    </w:p>
    <w:p>
      <w:pPr>
        <w:spacing w:line="360" w:lineRule="auto"/>
        <w:ind w:firstLine="480" w:firstLineChars="200"/>
        <w:rPr>
          <w:rFonts w:ascii="宋体" w:hAnsi="宋体" w:cs="宋体"/>
          <w:bCs/>
          <w:color w:val="000000"/>
          <w:sz w:val="24"/>
          <w:highlight w:val="none"/>
        </w:rPr>
      </w:pPr>
    </w:p>
    <w:p>
      <w:pPr>
        <w:pStyle w:val="9"/>
        <w:widowControl/>
        <w:spacing w:line="360" w:lineRule="auto"/>
        <w:jc w:val="right"/>
        <w:rPr>
          <w:rFonts w:hint="eastAsia" w:ascii="宋体" w:hAnsi="Wingdings" w:cs="宋体"/>
          <w:color w:val="000000"/>
          <w:kern w:val="0"/>
          <w:highlight w:val="none"/>
        </w:rPr>
      </w:pPr>
      <w:r>
        <w:rPr>
          <w:rFonts w:hint="eastAsia" w:ascii="宋体" w:hAnsi="宋体" w:cs="宋体"/>
          <w:kern w:val="0"/>
          <w:highlight w:val="none"/>
        </w:rPr>
        <w:t>杭银理财有限责任公司</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0"/>
        <w:rPr>
          <w:rFonts w:hint="eastAsia" w:ascii="Calibri" w:hAnsi="Calibri" w:eastAsia="宋体" w:cs="黑体"/>
          <w:b/>
          <w:bCs w:val="0"/>
          <w:sz w:val="44"/>
          <w:szCs w:val="44"/>
          <w:highlight w:val="none"/>
        </w:rPr>
      </w:pPr>
      <w:r>
        <w:rPr>
          <w:rFonts w:hint="eastAsia" w:ascii="Calibri" w:hAnsi="Calibri" w:eastAsia="宋体" w:cs="黑体"/>
          <w:b/>
          <w:bCs w:val="0"/>
          <w:sz w:val="44"/>
          <w:szCs w:val="44"/>
          <w:highlight w:val="none"/>
          <w:lang w:val="en-US" w:eastAsia="zh-CN"/>
        </w:rPr>
        <w:t>杭银理财理财计划</w:t>
      </w:r>
      <w:r>
        <w:rPr>
          <w:rFonts w:hint="eastAsia" w:ascii="Calibri" w:hAnsi="Calibri" w:eastAsia="宋体" w:cs="黑体"/>
          <w:b/>
          <w:bCs w:val="0"/>
          <w:sz w:val="44"/>
          <w:szCs w:val="44"/>
          <w:highlight w:val="none"/>
        </w:rPr>
        <w:t>销售协议书</w:t>
      </w:r>
    </w:p>
    <w:p>
      <w:pPr>
        <w:jc w:val="center"/>
        <w:rPr>
          <w:rFonts w:hint="eastAsia" w:ascii="宋体" w:hAnsi="宋体" w:eastAsia="宋体" w:cs="宋体"/>
          <w:b w:val="0"/>
          <w:bCs w:val="0"/>
          <w:sz w:val="28"/>
          <w:szCs w:val="28"/>
          <w:highlight w:val="none"/>
        </w:rPr>
      </w:pPr>
      <w:r>
        <w:rPr>
          <w:rFonts w:hint="eastAsia" w:ascii="宋体" w:hAnsi="宋体" w:eastAsia="宋体" w:cs="宋体"/>
          <w:sz w:val="28"/>
          <w:szCs w:val="28"/>
          <w:highlight w:val="none"/>
        </w:rPr>
        <w:t>（202</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01版）</w:t>
      </w:r>
    </w:p>
    <w:p>
      <w:pPr>
        <w:spacing w:line="360" w:lineRule="auto"/>
        <w:jc w:val="center"/>
        <w:rPr>
          <w:rFonts w:hint="default"/>
          <w:sz w:val="32"/>
          <w:szCs w:val="40"/>
          <w:highlight w:val="none"/>
          <w:lang w:val="en-US" w:eastAsia="zh-CN"/>
        </w:rPr>
      </w:pPr>
      <w:r>
        <w:rPr>
          <w:rFonts w:hint="eastAsia" w:ascii="宋体" w:hAnsi="宋体" w:cs="宋体"/>
          <w:b/>
          <w:bCs/>
          <w:sz w:val="24"/>
          <w:highlight w:val="none"/>
          <w:u w:val="single"/>
        </w:rPr>
        <w:t>理财非存款、产品有风险、投资须谨慎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黑体"/>
          <w:b/>
          <w:bCs/>
          <w:sz w:val="24"/>
          <w:highlight w:val="none"/>
        </w:rPr>
      </w:pPr>
      <w:r>
        <w:rPr>
          <w:rFonts w:hint="eastAsia" w:ascii="Calibri" w:hAnsi="Calibri" w:eastAsia="宋体" w:cs="黑体"/>
          <w:b/>
          <w:bCs/>
          <w:sz w:val="24"/>
          <w:highlight w:val="none"/>
        </w:rPr>
        <w:t>特别提示：</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rPr>
        <w:t>杭银理财</w:t>
      </w:r>
      <w:r>
        <w:rPr>
          <w:rFonts w:hint="eastAsia" w:ascii="Calibri" w:hAnsi="Calibri" w:eastAsia="宋体" w:cs="黑体"/>
          <w:b/>
          <w:bCs/>
          <w:sz w:val="24"/>
          <w:highlight w:val="none"/>
          <w:lang w:val="en-US" w:eastAsia="zh-CN"/>
        </w:rPr>
        <w:t>理财计划销售协议书</w:t>
      </w:r>
      <w:r>
        <w:rPr>
          <w:rFonts w:hint="eastAsia" w:ascii="宋体" w:hAnsi="宋体" w:eastAsia="宋体" w:cs="宋体"/>
          <w:b/>
          <w:bCs/>
          <w:sz w:val="24"/>
          <w:highlight w:val="none"/>
          <w:lang w:val="en-US" w:eastAsia="zh-CN"/>
        </w:rPr>
        <w:t>（202201版）</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lang w:val="en-US" w:eastAsia="zh-CN"/>
        </w:rPr>
        <w:t>与对应期次的</w:t>
      </w:r>
      <w:r>
        <w:rPr>
          <w:rFonts w:hint="eastAsia" w:eastAsia="宋体" w:cs="黑体"/>
          <w:b/>
          <w:bCs/>
          <w:sz w:val="24"/>
          <w:highlight w:val="none"/>
          <w:lang w:val="en-US" w:eastAsia="zh-CN"/>
        </w:rPr>
        <w:t>理财计划风险揭示书、理财计划产品说明书、投资者权益须知及</w:t>
      </w:r>
      <w:r>
        <w:rPr>
          <w:rFonts w:hint="eastAsia" w:ascii="Calibri" w:hAnsi="Calibri" w:eastAsia="宋体" w:cs="黑体"/>
          <w:b/>
          <w:bCs/>
          <w:sz w:val="24"/>
          <w:highlight w:val="none"/>
        </w:rPr>
        <w:t>理财计划投资协议书共同构成完整且不可分割的理财计划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。杭银理财有限责任公司（以下简称“杭银理财”）建议投资者在购买理财计划前认真阅读</w:t>
      </w:r>
      <w:r>
        <w:rPr>
          <w:rFonts w:hint="eastAsia" w:ascii="Calibri" w:hAnsi="Calibri" w:eastAsia="宋体" w:cs="黑体"/>
          <w:b/>
          <w:bCs/>
          <w:sz w:val="24"/>
          <w:highlight w:val="none"/>
          <w:lang w:val="en-US" w:eastAsia="zh-CN"/>
        </w:rPr>
        <w:t>全套</w:t>
      </w:r>
      <w:r>
        <w:rPr>
          <w:rFonts w:hint="eastAsia" w:ascii="Calibri" w:hAnsi="Calibri" w:eastAsia="宋体" w:cs="黑体"/>
          <w:b/>
          <w:bCs/>
          <w:sz w:val="24"/>
          <w:highlight w:val="none"/>
        </w:rPr>
        <w:t>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，投资者签署</w:t>
      </w:r>
      <w:r>
        <w:rPr>
          <w:rFonts w:hint="eastAsia" w:ascii="Calibri" w:hAnsi="Calibri" w:eastAsia="宋体" w:cs="黑体"/>
          <w:b/>
          <w:bCs/>
          <w:sz w:val="24"/>
          <w:highlight w:val="none"/>
          <w:lang w:val="en-US" w:eastAsia="zh-CN"/>
        </w:rPr>
        <w:t>本</w:t>
      </w:r>
      <w:r>
        <w:rPr>
          <w:rFonts w:hint="eastAsia" w:ascii="Calibri" w:hAnsi="Calibri" w:eastAsia="宋体" w:cs="黑体"/>
          <w:b/>
          <w:bCs/>
          <w:sz w:val="24"/>
          <w:highlight w:val="none"/>
        </w:rPr>
        <w:t>协议书（含电子渠道签署）即视为已详细阅读理财计划合同并知悉相关风险，自愿投资购买理财计划、遵守合同约定并承担相应风险。</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Calibri" w:hAnsi="Calibri" w:eastAsia="宋体" w:cs="黑体"/>
          <w:b/>
          <w:bCs/>
          <w:sz w:val="24"/>
          <w:highlight w:val="none"/>
          <w:lang w:val="en-US" w:eastAsia="zh-CN"/>
        </w:rPr>
      </w:pPr>
      <w:r>
        <w:rPr>
          <w:rFonts w:hint="eastAsia" w:ascii="Calibri" w:hAnsi="Calibri" w:eastAsia="宋体" w:cs="黑体"/>
          <w:b/>
          <w:bCs/>
          <w:sz w:val="24"/>
          <w:highlight w:val="none"/>
          <w:lang w:val="en-US" w:eastAsia="zh-CN"/>
        </w:rPr>
        <w:t>理财非存款、产品有风险、投资须谨慎，理财计划过往业绩不代表其未来表现，不等于理财计划实际收益。</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理财计划销售的相关法律主体为发行理财计划的理财公司、</w:t>
      </w:r>
      <w:r>
        <w:rPr>
          <w:rFonts w:hint="eastAsia" w:eastAsia="宋体" w:cs="黑体"/>
          <w:sz w:val="24"/>
          <w:highlight w:val="none"/>
          <w:lang w:val="en-US" w:eastAsia="zh-CN"/>
        </w:rPr>
        <w:t>理财公司自有销售渠道以及</w:t>
      </w:r>
      <w:r>
        <w:rPr>
          <w:rFonts w:hint="eastAsia" w:ascii="Calibri" w:hAnsi="Calibri" w:eastAsia="宋体" w:cs="黑体"/>
          <w:sz w:val="24"/>
          <w:highlight w:val="none"/>
          <w:lang w:val="en-US" w:eastAsia="zh-CN"/>
        </w:rPr>
        <w:t>接受理财公司委托销售其发行理财计划的代理销售机构（以下简称“销售机构”）和投资者三方。理财公司是理财计划的设计发行方与管理人，</w:t>
      </w:r>
      <w:r>
        <w:rPr>
          <w:rFonts w:hint="eastAsia" w:eastAsia="宋体" w:cs="黑体"/>
          <w:sz w:val="24"/>
          <w:highlight w:val="none"/>
          <w:lang w:val="en-US" w:eastAsia="zh-CN"/>
        </w:rPr>
        <w:t>理财公司和</w:t>
      </w:r>
      <w:r>
        <w:rPr>
          <w:rFonts w:hint="eastAsia" w:ascii="Calibri" w:hAnsi="Calibri" w:eastAsia="宋体" w:cs="黑体"/>
          <w:sz w:val="24"/>
          <w:highlight w:val="none"/>
          <w:lang w:val="en-US" w:eastAsia="zh-CN"/>
        </w:rPr>
        <w:t>销售机构面向投资者实施销售行为，两方共同承担理财计划的合规销售和投资者合法权益保护义务。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投资者与销售机构经平等友好协商，本着自愿、诚实信用原则，就投资者购买销售机构代理销售的理财计划有关事宜达成如下协议（以下简称“本协议”）：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第一条 </w:t>
      </w:r>
      <w:r>
        <w:rPr>
          <w:rFonts w:hint="eastAsia" w:ascii="Calibri" w:hAnsi="Calibri" w:eastAsia="宋体" w:cs="黑体"/>
          <w:b/>
          <w:bCs/>
          <w:sz w:val="24"/>
          <w:highlight w:val="none"/>
          <w:lang w:val="en-US" w:eastAsia="zh-CN"/>
        </w:rPr>
        <w:t>名词释义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r>
        <w:rPr>
          <w:rFonts w:hint="eastAsia" w:ascii="Calibri" w:hAnsi="Calibri" w:eastAsia="宋体" w:cs="黑体"/>
          <w:bCs/>
          <w:sz w:val="24"/>
          <w:highlight w:val="none"/>
          <w:lang w:val="en-US" w:eastAsia="zh-CN"/>
        </w:rPr>
        <w:t>详见对应期次的理财计划产品说明书“释义”部分。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第二条 </w:t>
      </w:r>
      <w:r>
        <w:rPr>
          <w:rFonts w:hint="eastAsia" w:ascii="Calibri" w:hAnsi="Calibri" w:eastAsia="宋体" w:cs="黑体"/>
          <w:b/>
          <w:bCs/>
          <w:sz w:val="24"/>
          <w:highlight w:val="none"/>
          <w:lang w:val="en-US" w:eastAsia="zh-CN"/>
        </w:rPr>
        <w:t>投资者权利与义务</w:t>
      </w:r>
    </w:p>
    <w:p>
      <w:pPr>
        <w:widowControl/>
        <w:numPr>
          <w:ilvl w:val="0"/>
          <w:numId w:val="78"/>
        </w:numPr>
        <w:spacing w:line="360" w:lineRule="auto"/>
        <w:ind w:left="0" w:leftChars="0" w:firstLine="480" w:firstLineChars="20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eastAsia="宋体" w:cs="黑体"/>
          <w:color w:val="000000"/>
          <w:kern w:val="2"/>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78"/>
        </w:numPr>
        <w:spacing w:line="360" w:lineRule="auto"/>
        <w:ind w:left="0" w:leftChars="0" w:firstLine="480" w:firstLineChars="20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投资者保证自身完全了解理财投资的性质，投资所涉及的风险以及自身风险承受能力，在慎重考虑后独立作出交易决定。</w:t>
      </w:r>
    </w:p>
    <w:p>
      <w:pPr>
        <w:widowControl/>
        <w:numPr>
          <w:ilvl w:val="0"/>
          <w:numId w:val="78"/>
        </w:numPr>
        <w:spacing w:line="360" w:lineRule="auto"/>
        <w:ind w:left="0" w:leftChars="0" w:firstLine="482" w:firstLineChars="200"/>
        <w:contextualSpacing/>
        <w:outlineLvl w:val="2"/>
        <w:rPr>
          <w:rFonts w:hint="eastAsia" w:ascii="宋体" w:hAnsi="宋体" w:eastAsia="宋体" w:cs="黑体"/>
          <w:sz w:val="24"/>
          <w:highlight w:val="none"/>
        </w:rPr>
      </w:pPr>
      <w:r>
        <w:rPr>
          <w:rFonts w:hint="eastAsia" w:ascii="宋体" w:hAnsi="宋体" w:eastAsia="宋体" w:cs="黑体"/>
          <w:b/>
          <w:bCs/>
          <w:sz w:val="24"/>
          <w:highlight w:val="none"/>
        </w:rPr>
        <w:t>投资者购买</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lang w:eastAsia="zh-CN"/>
        </w:rPr>
        <w:t>代理销售</w:t>
      </w:r>
      <w:r>
        <w:rPr>
          <w:rFonts w:hint="eastAsia" w:ascii="宋体" w:hAnsi="宋体" w:eastAsia="宋体" w:cs="黑体"/>
          <w:b/>
          <w:bCs/>
          <w:sz w:val="24"/>
          <w:highlight w:val="none"/>
        </w:rPr>
        <w:t>的私募</w:t>
      </w:r>
      <w:r>
        <w:rPr>
          <w:rFonts w:hint="eastAsia" w:ascii="宋体" w:hAnsi="宋体" w:eastAsia="宋体" w:cs="黑体"/>
          <w:b/>
          <w:bCs/>
          <w:sz w:val="24"/>
          <w:highlight w:val="none"/>
          <w:lang w:eastAsia="zh-CN"/>
        </w:rPr>
        <w:t>理财计划</w:t>
      </w:r>
      <w:r>
        <w:rPr>
          <w:rFonts w:hint="eastAsia" w:ascii="宋体" w:hAnsi="宋体" w:eastAsia="宋体" w:cs="黑体"/>
          <w:b/>
          <w:bCs/>
          <w:sz w:val="24"/>
          <w:highlight w:val="none"/>
        </w:rPr>
        <w:t>后，可以享有24 小时的投资冷静期，在投资冷静期内，如</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改变投资决定，应提出解除相应理财</w:t>
      </w:r>
      <w:r>
        <w:rPr>
          <w:rFonts w:hint="eastAsia" w:ascii="宋体" w:hAnsi="宋体" w:eastAsia="宋体" w:cs="黑体"/>
          <w:b/>
          <w:bCs/>
          <w:sz w:val="24"/>
          <w:highlight w:val="none"/>
          <w:lang w:val="en-US" w:eastAsia="zh-CN"/>
        </w:rPr>
        <w:t>计划合同</w:t>
      </w:r>
      <w:r>
        <w:rPr>
          <w:rFonts w:hint="eastAsia" w:ascii="宋体" w:hAnsi="宋体" w:eastAsia="宋体" w:cs="黑体"/>
          <w:b/>
          <w:bCs/>
          <w:sz w:val="24"/>
          <w:highlight w:val="none"/>
        </w:rPr>
        <w:t>文件申请，</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将及时退还</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的全部投资款项。</w:t>
      </w:r>
      <w:r>
        <w:rPr>
          <w:rFonts w:hint="eastAsia" w:ascii="宋体" w:hAnsi="宋体" w:eastAsia="宋体" w:cs="黑体"/>
          <w:sz w:val="24"/>
          <w:highlight w:val="none"/>
        </w:rPr>
        <w:t>投资冷静期相关约定详见</w:t>
      </w:r>
      <w:r>
        <w:rPr>
          <w:rFonts w:hint="eastAsia" w:ascii="宋体" w:hAnsi="宋体" w:eastAsia="宋体" w:cs="黑体"/>
          <w:sz w:val="24"/>
          <w:highlight w:val="none"/>
          <w:lang w:val="en-US" w:eastAsia="zh-CN"/>
        </w:rPr>
        <w:t>理财计划产品</w:t>
      </w:r>
      <w:r>
        <w:rPr>
          <w:rFonts w:hint="eastAsia" w:ascii="宋体" w:hAnsi="宋体" w:eastAsia="宋体" w:cs="黑体"/>
          <w:sz w:val="24"/>
          <w:highlight w:val="none"/>
        </w:rPr>
        <w:t>说明书</w:t>
      </w:r>
      <w:r>
        <w:rPr>
          <w:rFonts w:hint="eastAsia" w:ascii="宋体" w:hAnsi="宋体" w:eastAsia="宋体" w:cs="黑体"/>
          <w:sz w:val="24"/>
          <w:highlight w:val="none"/>
          <w:lang w:eastAsia="zh-CN"/>
        </w:rPr>
        <w:t>。</w:t>
      </w:r>
    </w:p>
    <w:p>
      <w:pPr>
        <w:widowControl/>
        <w:numPr>
          <w:ilvl w:val="0"/>
          <w:numId w:val="78"/>
        </w:numPr>
        <w:spacing w:line="360" w:lineRule="auto"/>
        <w:ind w:left="0" w:leftChars="0" w:firstLine="480" w:firstLineChars="20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投资者保证其有权利签署本协议和履行本协议所述的义务，并已为此采取一切所需的行为。</w:t>
      </w:r>
    </w:p>
    <w:p>
      <w:pPr>
        <w:widowControl/>
        <w:numPr>
          <w:ilvl w:val="0"/>
          <w:numId w:val="78"/>
        </w:numPr>
        <w:spacing w:line="360" w:lineRule="auto"/>
        <w:ind w:left="0" w:leftChars="0" w:firstLine="480" w:firstLineChars="20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投资者保证执行及交付任何文件或履行本协议项下的义务，均不会违反任何适用法律、法规、法令或法律限制</w:t>
      </w:r>
      <w:r>
        <w:rPr>
          <w:rFonts w:hint="eastAsia" w:ascii="宋体" w:hAnsi="宋体" w:eastAsia="宋体" w:cs="黑体"/>
          <w:sz w:val="24"/>
          <w:highlight w:val="none"/>
          <w:lang w:eastAsia="zh-CN"/>
        </w:rPr>
        <w:t>；</w:t>
      </w:r>
      <w:r>
        <w:rPr>
          <w:rFonts w:hint="eastAsia" w:ascii="宋体" w:hAnsi="宋体" w:eastAsia="宋体" w:cs="黑体"/>
          <w:sz w:val="24"/>
          <w:highlight w:val="none"/>
        </w:rPr>
        <w:t>不会违反任何法院或政府机关所作出的适用于投资者或投资者任何资产的判决或指令；不会违反对投资者或投资者任何资产有约束力的任何重大协议条款。投资者应在签署本协议的同时在</w:t>
      </w:r>
      <w:r>
        <w:rPr>
          <w:rFonts w:hint="eastAsia" w:ascii="宋体" w:hAnsi="宋体" w:eastAsia="宋体" w:cs="黑体"/>
          <w:sz w:val="24"/>
          <w:highlight w:val="none"/>
          <w:lang w:val="en-US" w:eastAsia="zh-CN"/>
        </w:rPr>
        <w:t>其</w:t>
      </w:r>
      <w:r>
        <w:rPr>
          <w:rFonts w:hint="eastAsia" w:ascii="宋体" w:hAnsi="宋体" w:eastAsia="宋体" w:cs="黑体"/>
          <w:sz w:val="24"/>
          <w:highlight w:val="none"/>
        </w:rPr>
        <w:t>授权指定</w:t>
      </w:r>
      <w:r>
        <w:rPr>
          <w:rFonts w:hint="eastAsia" w:ascii="宋体" w:hAnsi="宋体" w:eastAsia="宋体" w:cs="黑体"/>
          <w:sz w:val="24"/>
          <w:highlight w:val="none"/>
          <w:lang w:val="en-US" w:eastAsia="zh-CN"/>
        </w:rPr>
        <w:t>的</w:t>
      </w:r>
      <w:r>
        <w:rPr>
          <w:rFonts w:hint="eastAsia" w:ascii="宋体" w:hAnsi="宋体" w:eastAsia="宋体" w:cs="黑体"/>
          <w:sz w:val="24"/>
          <w:highlight w:val="none"/>
        </w:rPr>
        <w:t>账户</w:t>
      </w:r>
      <w:r>
        <w:rPr>
          <w:rFonts w:hint="eastAsia" w:ascii="宋体" w:hAnsi="宋体" w:eastAsia="宋体" w:cs="黑体"/>
          <w:sz w:val="24"/>
          <w:highlight w:val="none"/>
          <w:lang w:val="en-US" w:eastAsia="zh-CN"/>
        </w:rPr>
        <w:t>中（以下简称“授权指定账户”）</w:t>
      </w:r>
      <w:r>
        <w:rPr>
          <w:rFonts w:hint="eastAsia" w:ascii="宋体" w:hAnsi="宋体" w:eastAsia="宋体" w:cs="黑体"/>
          <w:sz w:val="24"/>
          <w:highlight w:val="none"/>
        </w:rPr>
        <w:t>存入足额的资金以确保账户余额大于或等于认/申购金额。</w:t>
      </w:r>
    </w:p>
    <w:p>
      <w:pPr>
        <w:widowControl/>
        <w:numPr>
          <w:ilvl w:val="0"/>
          <w:numId w:val="78"/>
        </w:numPr>
        <w:spacing w:line="360" w:lineRule="auto"/>
        <w:ind w:left="0" w:leftChars="0" w:firstLine="482" w:firstLineChars="200"/>
        <w:contextualSpacing/>
        <w:outlineLvl w:val="2"/>
        <w:rPr>
          <w:rFonts w:hint="eastAsia" w:ascii="宋体" w:hAnsi="宋体" w:eastAsia="宋体" w:cs="黑体"/>
          <w:sz w:val="24"/>
          <w:highlight w:val="none"/>
        </w:rPr>
      </w:pP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在此确认</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的系统记录以及录音、录像构成对</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操作行为（包括但不限于购买、赎回、撤单）的有效证据，并且在</w:t>
      </w:r>
      <w:r>
        <w:rPr>
          <w:rFonts w:hint="eastAsia" w:ascii="宋体" w:hAnsi="宋体" w:eastAsia="宋体" w:cs="黑体"/>
          <w:b/>
          <w:bCs/>
          <w:sz w:val="24"/>
          <w:highlight w:val="none"/>
          <w:lang w:val="en-US" w:eastAsia="zh-CN"/>
        </w:rPr>
        <w:t>双</w:t>
      </w:r>
      <w:r>
        <w:rPr>
          <w:rFonts w:hint="eastAsia" w:ascii="宋体" w:hAnsi="宋体" w:eastAsia="宋体" w:cs="黑体"/>
          <w:b/>
          <w:bCs/>
          <w:sz w:val="24"/>
          <w:highlight w:val="none"/>
        </w:rPr>
        <w:t>方发生争议时可以作为合法有效的证据使用</w:t>
      </w:r>
      <w:r>
        <w:rPr>
          <w:rFonts w:hint="eastAsia" w:ascii="宋体" w:hAnsi="宋体" w:eastAsia="宋体" w:cs="黑体"/>
          <w:sz w:val="24"/>
          <w:highlight w:val="none"/>
          <w:lang w:eastAsia="zh-CN"/>
        </w:rPr>
        <w:t>。</w:t>
      </w:r>
    </w:p>
    <w:p>
      <w:pPr>
        <w:widowControl/>
        <w:numPr>
          <w:ilvl w:val="0"/>
          <w:numId w:val="78"/>
        </w:numPr>
        <w:spacing w:line="360" w:lineRule="auto"/>
        <w:ind w:left="0" w:leftChars="0" w:firstLine="480" w:firstLineChars="20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78"/>
        </w:numPr>
        <w:spacing w:line="360" w:lineRule="auto"/>
        <w:ind w:left="0" w:leftChars="0" w:firstLine="480" w:firstLineChars="200"/>
        <w:contextualSpacing/>
        <w:outlineLvl w:val="2"/>
        <w:rPr>
          <w:rFonts w:hint="eastAsia" w:ascii="宋体" w:hAnsi="宋体" w:eastAsia="宋体" w:cs="黑体"/>
          <w:sz w:val="24"/>
          <w:highlight w:val="none"/>
        </w:rPr>
      </w:pPr>
      <w:r>
        <w:rPr>
          <w:rFonts w:hint="eastAsia" w:ascii="宋体" w:hAnsi="宋体" w:eastAsia="宋体" w:cs="黑体"/>
          <w:sz w:val="24"/>
          <w:highlight w:val="none"/>
        </w:rPr>
        <w:t>在本理财计划存续期内，如有权机关要求</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配合对投资者理财份额、理财账户、授权指定账户进行查封、冻结或扣划的，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有权根据实际情况采取</w:t>
      </w:r>
      <w:r>
        <w:rPr>
          <w:rFonts w:hint="eastAsia" w:ascii="宋体" w:hAnsi="宋体" w:eastAsia="宋体" w:cs="黑体"/>
          <w:sz w:val="24"/>
          <w:highlight w:val="none"/>
          <w:lang w:val="en-US" w:eastAsia="zh-CN"/>
        </w:rPr>
        <w:t>相应</w:t>
      </w:r>
      <w:r>
        <w:rPr>
          <w:rFonts w:hint="eastAsia" w:ascii="宋体" w:hAnsi="宋体" w:eastAsia="宋体" w:cs="黑体"/>
          <w:sz w:val="24"/>
          <w:highlight w:val="none"/>
        </w:rPr>
        <w:t>措施。</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对上述后果不承担任何责任。 </w:t>
      </w:r>
    </w:p>
    <w:p>
      <w:pPr>
        <w:widowControl/>
        <w:numPr>
          <w:ilvl w:val="0"/>
          <w:numId w:val="78"/>
        </w:numPr>
        <w:spacing w:line="360" w:lineRule="auto"/>
        <w:ind w:left="0" w:leftChars="0" w:firstLine="480" w:firstLineChars="20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本协议终止前，投资者不得将授权指定账户销户。若发生因投资者注销授权指定账户造成理财计划无法正常兑付的，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不承担任何责任。</w:t>
      </w:r>
    </w:p>
    <w:p>
      <w:pPr>
        <w:widowControl/>
        <w:numPr>
          <w:ilvl w:val="0"/>
          <w:numId w:val="78"/>
        </w:numPr>
        <w:spacing w:line="360" w:lineRule="auto"/>
        <w:ind w:left="0" w:leftChars="0" w:firstLine="480" w:firstLineChars="20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投资者应确保其提供的所有资料真实、完整、合法、有效，如果有任何变更，投资者应及时通知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并办理变更手续。如因投资者未及时通知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并办理相应的变更手续，由此导致的一切后果由投资者自行承担，</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78"/>
        </w:numPr>
        <w:spacing w:line="360" w:lineRule="auto"/>
        <w:ind w:left="0" w:leftChars="0" w:firstLine="480" w:firstLineChars="200"/>
        <w:contextualSpacing/>
        <w:outlineLvl w:val="2"/>
        <w:rPr>
          <w:rFonts w:hint="eastAsia" w:ascii="宋体" w:hAnsi="宋体" w:eastAsia="宋体" w:cs="黑体"/>
          <w:sz w:val="24"/>
          <w:highlight w:val="none"/>
        </w:rPr>
      </w:pPr>
      <w:r>
        <w:rPr>
          <w:rFonts w:hint="eastAsia" w:ascii="宋体" w:hAnsi="宋体" w:eastAsia="宋体" w:cs="黑体"/>
          <w:sz w:val="24"/>
          <w:highlight w:val="none"/>
          <w:lang w:val="en-US" w:eastAsia="zh-CN"/>
        </w:rPr>
        <w:t>投资者</w:t>
      </w:r>
      <w:r>
        <w:rPr>
          <w:rFonts w:hint="eastAsia" w:ascii="宋体" w:hAnsi="宋体" w:eastAsia="宋体" w:cs="黑体"/>
          <w:sz w:val="24"/>
          <w:highlight w:val="none"/>
        </w:rPr>
        <w:t>对本协议及其条款负有保密义务，未经</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书面许可，不得向任何组织、个人提供或泄露与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有关的业务资料及信息，但法律、法规另有规定的除外</w:t>
      </w:r>
      <w:r>
        <w:rPr>
          <w:rFonts w:hint="eastAsia" w:ascii="宋体" w:hAnsi="宋体" w:eastAsia="宋体" w:cs="黑体"/>
          <w:sz w:val="24"/>
          <w:highlight w:val="none"/>
          <w:lang w:eastAsia="zh-CN"/>
        </w:rPr>
        <w:t>。</w:t>
      </w:r>
    </w:p>
    <w:p>
      <w:pPr>
        <w:widowControl/>
        <w:numPr>
          <w:ilvl w:val="0"/>
          <w:numId w:val="78"/>
        </w:numPr>
        <w:spacing w:line="360" w:lineRule="auto"/>
        <w:ind w:left="0" w:leftChars="0" w:firstLine="480" w:firstLineChars="200"/>
        <w:contextualSpacing/>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投资者进行投资时，应严格遵守反洗钱相关法规的规定，切实履行反洗钱及反恐怖融资义务。</w:t>
      </w:r>
    </w:p>
    <w:p>
      <w:pPr>
        <w:widowControl/>
        <w:numPr>
          <w:ilvl w:val="0"/>
          <w:numId w:val="78"/>
        </w:numPr>
        <w:spacing w:line="360" w:lineRule="auto"/>
        <w:ind w:left="0" w:leftChars="0" w:firstLine="482" w:firstLineChars="200"/>
        <w:contextualSpacing/>
        <w:outlineLvl w:val="2"/>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投资者个人信息授权</w:t>
      </w:r>
    </w:p>
    <w:p>
      <w:pPr>
        <w:widowControl/>
        <w:numPr>
          <w:ilvl w:val="0"/>
          <w:numId w:val="0"/>
        </w:numPr>
        <w:spacing w:line="360" w:lineRule="auto"/>
        <w:ind w:left="0" w:leftChars="0" w:firstLine="482" w:firstLineChars="200"/>
        <w:contextualSpacing/>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78"/>
        </w:numPr>
        <w:spacing w:line="360" w:lineRule="auto"/>
        <w:ind w:left="0" w:leftChars="0" w:firstLine="482" w:firstLineChars="200"/>
        <w:contextualSpacing/>
        <w:outlineLvl w:val="2"/>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w:t>
      </w:r>
      <w:r>
        <w:rPr>
          <w:rFonts w:hint="eastAsia" w:ascii="宋体" w:hAnsi="宋体"/>
          <w:b/>
          <w:bCs/>
          <w:sz w:val="24"/>
          <w:highlight w:val="none"/>
        </w:rPr>
        <w:t>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numPr>
          <w:ilvl w:val="0"/>
          <w:numId w:val="0"/>
        </w:numPr>
        <w:spacing w:line="360" w:lineRule="auto"/>
        <w:ind w:left="0" w:leftChars="0" w:firstLine="482" w:firstLineChars="200"/>
        <w:contextualSpacing/>
        <w:rPr>
          <w:rFonts w:hint="default"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第三条 </w:t>
      </w:r>
      <w:r>
        <w:rPr>
          <w:rFonts w:hint="eastAsia" w:ascii="Calibri" w:hAnsi="Calibri" w:eastAsia="宋体" w:cs="黑体"/>
          <w:b/>
          <w:bCs/>
          <w:sz w:val="24"/>
          <w:highlight w:val="none"/>
          <w:lang w:val="en-US" w:eastAsia="zh-CN"/>
        </w:rPr>
        <w:t>销售机构的权利与义务</w:t>
      </w:r>
    </w:p>
    <w:p>
      <w:pPr>
        <w:keepNext w:val="0"/>
        <w:keepLines w:val="0"/>
        <w:pageBreakBefore w:val="0"/>
        <w:widowControl/>
        <w:numPr>
          <w:ilvl w:val="0"/>
          <w:numId w:val="79"/>
        </w:numPr>
        <w:kinsoku/>
        <w:wordWrap/>
        <w:overflowPunct/>
        <w:topLinePunct w:val="0"/>
        <w:autoSpaceDE/>
        <w:autoSpaceDN/>
        <w:bidi w:val="0"/>
        <w:adjustRightInd/>
        <w:snapToGrid/>
        <w:spacing w:line="360" w:lineRule="auto"/>
        <w:ind w:left="0" w:leftChars="0" w:firstLine="480"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keepNext w:val="0"/>
        <w:keepLines w:val="0"/>
        <w:pageBreakBefore w:val="0"/>
        <w:widowControl/>
        <w:numPr>
          <w:ilvl w:val="0"/>
          <w:numId w:val="79"/>
        </w:numPr>
        <w:kinsoku/>
        <w:wordWrap/>
        <w:overflowPunct/>
        <w:topLinePunct w:val="0"/>
        <w:autoSpaceDE/>
        <w:autoSpaceDN/>
        <w:bidi w:val="0"/>
        <w:adjustRightInd/>
        <w:snapToGrid/>
        <w:spacing w:line="360" w:lineRule="auto"/>
        <w:ind w:left="0" w:leftChars="0" w:firstLine="482"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b/>
          <w:bCs/>
          <w:sz w:val="24"/>
          <w:highlight w:val="none"/>
          <w:lang w:val="en-US" w:eastAsia="zh-CN"/>
        </w:rPr>
        <w:t>代理销售机构非本计划的发行、管理机构，对本计划的业绩不承担任何保证和其他经济责任，不承担本计划的投资、兑付和风险管理责任</w:t>
      </w:r>
      <w:r>
        <w:rPr>
          <w:rFonts w:hint="eastAsia" w:ascii="宋体" w:hAnsi="宋体" w:eastAsia="宋体" w:cs="黑体"/>
          <w:sz w:val="24"/>
          <w:highlight w:val="none"/>
          <w:lang w:val="en-US" w:eastAsia="zh-CN"/>
        </w:rPr>
        <w:t>。</w:t>
      </w:r>
    </w:p>
    <w:p>
      <w:pPr>
        <w:keepNext w:val="0"/>
        <w:keepLines w:val="0"/>
        <w:pageBreakBefore w:val="0"/>
        <w:widowControl/>
        <w:numPr>
          <w:ilvl w:val="0"/>
          <w:numId w:val="79"/>
        </w:numPr>
        <w:kinsoku/>
        <w:wordWrap/>
        <w:overflowPunct/>
        <w:topLinePunct w:val="0"/>
        <w:autoSpaceDE/>
        <w:autoSpaceDN/>
        <w:bidi w:val="0"/>
        <w:adjustRightInd/>
        <w:snapToGrid/>
        <w:spacing w:line="360" w:lineRule="auto"/>
        <w:ind w:left="0" w:leftChars="0" w:firstLine="480" w:firstLineChars="200"/>
        <w:contextualSpacing/>
        <w:jc w:val="both"/>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销售机构应定期对购买其代理销售的理财计划的非机构投资者进行有效风险承受能力评估，并保证向投资者推介及销售与其风险承受能力匹配的产品。</w:t>
      </w:r>
    </w:p>
    <w:p>
      <w:pPr>
        <w:keepNext w:val="0"/>
        <w:keepLines w:val="0"/>
        <w:pageBreakBefore w:val="0"/>
        <w:widowControl/>
        <w:numPr>
          <w:ilvl w:val="0"/>
          <w:numId w:val="79"/>
        </w:numPr>
        <w:kinsoku/>
        <w:wordWrap/>
        <w:overflowPunct/>
        <w:topLinePunct w:val="0"/>
        <w:autoSpaceDE/>
        <w:autoSpaceDN/>
        <w:bidi w:val="0"/>
        <w:adjustRightInd/>
        <w:snapToGrid/>
        <w:spacing w:line="360" w:lineRule="auto"/>
        <w:ind w:left="0" w:leftChars="0" w:firstLine="480"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keepNext w:val="0"/>
        <w:keepLines w:val="0"/>
        <w:pageBreakBefore w:val="0"/>
        <w:widowControl/>
        <w:numPr>
          <w:ilvl w:val="0"/>
          <w:numId w:val="79"/>
        </w:numPr>
        <w:kinsoku/>
        <w:wordWrap/>
        <w:overflowPunct/>
        <w:topLinePunct w:val="0"/>
        <w:autoSpaceDE/>
        <w:autoSpaceDN/>
        <w:bidi w:val="0"/>
        <w:adjustRightInd/>
        <w:snapToGrid/>
        <w:spacing w:line="360" w:lineRule="auto"/>
        <w:ind w:left="0" w:leftChars="0" w:firstLine="480" w:firstLineChars="200"/>
        <w:contextualSpacing/>
        <w:jc w:val="both"/>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keepNext w:val="0"/>
        <w:keepLines w:val="0"/>
        <w:pageBreakBefore w:val="0"/>
        <w:widowControl/>
        <w:numPr>
          <w:ilvl w:val="0"/>
          <w:numId w:val="79"/>
        </w:numPr>
        <w:kinsoku/>
        <w:wordWrap/>
        <w:overflowPunct/>
        <w:topLinePunct w:val="0"/>
        <w:autoSpaceDE/>
        <w:autoSpaceDN/>
        <w:bidi w:val="0"/>
        <w:adjustRightInd/>
        <w:snapToGrid/>
        <w:spacing w:line="360" w:lineRule="auto"/>
        <w:ind w:left="0" w:leftChars="0" w:firstLine="480"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销售机构应建立健全上岗资格、持续培训、信息公示与查询核实等制度并有效执行。未经销售机构进行上岗资格认定并签订劳动合同，任何人员不得从事理财计划销售业务活动。</w:t>
      </w:r>
    </w:p>
    <w:p>
      <w:pPr>
        <w:keepNext w:val="0"/>
        <w:keepLines w:val="0"/>
        <w:pageBreakBefore w:val="0"/>
        <w:widowControl/>
        <w:numPr>
          <w:ilvl w:val="0"/>
          <w:numId w:val="79"/>
        </w:numPr>
        <w:kinsoku/>
        <w:wordWrap/>
        <w:overflowPunct/>
        <w:topLinePunct w:val="0"/>
        <w:autoSpaceDE/>
        <w:autoSpaceDN/>
        <w:bidi w:val="0"/>
        <w:adjustRightInd/>
        <w:snapToGrid/>
        <w:spacing w:line="360" w:lineRule="auto"/>
        <w:ind w:left="0" w:leftChars="0" w:firstLine="480"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销售机构应对所有销售人员信息进行登记和公示。销售人员在向投资者宣传销售理财计划前进行自我介绍并告知信息查询和核实渠道，便于投资者查询核实，防止伪冒身份和虚假宣传。</w:t>
      </w:r>
    </w:p>
    <w:p>
      <w:pPr>
        <w:keepNext w:val="0"/>
        <w:keepLines w:val="0"/>
        <w:pageBreakBefore w:val="0"/>
        <w:widowControl/>
        <w:numPr>
          <w:ilvl w:val="0"/>
          <w:numId w:val="79"/>
        </w:numPr>
        <w:kinsoku/>
        <w:wordWrap/>
        <w:overflowPunct/>
        <w:topLinePunct w:val="0"/>
        <w:autoSpaceDE/>
        <w:autoSpaceDN/>
        <w:bidi w:val="0"/>
        <w:adjustRightInd/>
        <w:snapToGrid/>
        <w:spacing w:line="360" w:lineRule="auto"/>
        <w:ind w:left="0" w:leftChars="0" w:firstLine="480"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销售机构对投资者负有信息保密义务，未经投资者书面许可，乙方不得向任何组织、个人提供或泄露与甲方有关的业务资料及信息，但法律、法规另有规定的除外。</w:t>
      </w:r>
    </w:p>
    <w:p>
      <w:pPr>
        <w:keepNext w:val="0"/>
        <w:keepLines w:val="0"/>
        <w:pageBreakBefore w:val="0"/>
        <w:widowControl/>
        <w:numPr>
          <w:ilvl w:val="0"/>
          <w:numId w:val="79"/>
        </w:numPr>
        <w:kinsoku/>
        <w:wordWrap/>
        <w:overflowPunct/>
        <w:topLinePunct w:val="0"/>
        <w:autoSpaceDE/>
        <w:autoSpaceDN/>
        <w:bidi w:val="0"/>
        <w:adjustRightInd/>
        <w:snapToGrid/>
        <w:spacing w:line="360" w:lineRule="auto"/>
        <w:ind w:left="0" w:leftChars="0" w:firstLine="480"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销售机构应按照法律法规、监管规定、理财计划合同的约定收取销售费用，并如实核算、记账。未经载明，不得对不同投资者适用不同费率。</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firstLine="480"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理财计划销售结算资金属于理财计划投资者，销售机构不得挪用理财计划销售结算资金或将理财计划销售结算资金归入自有资产。</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firstLine="480"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销售机构应遵守相关法律、法规、监管规定及理财计划合同约定，诚实守信、勤勉尽责，向购买理财计划的投资者充分传递管理人披露的产品相关信息并进行充分的风险揭示。</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firstLine="480"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销售机构应当充分利用科技手段，加强对伪冒网站、伪冒产品等监测，有效防范各类欺诈风险。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2" w:firstLine="0"/>
        <w:contextualSpacing/>
        <w:jc w:val="left"/>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第四条 </w:t>
      </w:r>
      <w:r>
        <w:rPr>
          <w:rFonts w:hint="eastAsia" w:ascii="Calibri" w:hAnsi="Calibri" w:eastAsia="宋体" w:cs="黑体"/>
          <w:b/>
          <w:bCs/>
          <w:sz w:val="24"/>
          <w:highlight w:val="none"/>
          <w:lang w:val="en-US" w:eastAsia="zh-CN"/>
        </w:rPr>
        <w:t>理财计划认（申）购、赎回及终止</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 xml:space="preserve">理财计划认/申购办理流程：参照投资者权益须知约定。 </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理财计划认/申购确认：管理人根据</w:t>
      </w:r>
      <w:r>
        <w:rPr>
          <w:rFonts w:hint="eastAsia" w:ascii="宋体" w:hAnsi="宋体" w:eastAsia="宋体" w:cs="黑体"/>
          <w:sz w:val="24"/>
          <w:highlight w:val="none"/>
          <w:lang w:eastAsia="zh-CN"/>
        </w:rPr>
        <w:t>销售</w:t>
      </w:r>
      <w:r>
        <w:rPr>
          <w:rFonts w:hint="eastAsia" w:ascii="宋体" w:hAnsi="宋体" w:eastAsia="宋体" w:cs="黑体"/>
          <w:sz w:val="24"/>
          <w:highlight w:val="none"/>
        </w:rPr>
        <w:t>渠道提供的交易信息及资金划付对投资者相应认/申购进行确认。</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理财计划不成立：若在募集期结束日，本理财计划发行规模未能达到对应期次的理财计划产品说明书规定的要求，则本理财计划不成立，</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 xml:space="preserve">将按对应期次的理财计划产品说明书约定条款向投资者进行公告，并将及时解除对投资者授权指定账户中认购资金的冻结。 </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 xml:space="preserve">理财计划投资品种、投资起点金额、收益支付方式：参照对应期次的理财计划产品说明书中的条款约定。 </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理财计划赎回/终止兑付：在正常情况下，管理人和</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产品说明书约定管理人对理财计划进行延期或转换时，</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将于原约定清算日前通过信息披露途径及时通知，并根据实际情况进行后续处理。</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资金清算：理财计划终止或份额赎回时，管理人按理财计划合同约定划付至</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清算账户后，由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向投资者划付投资者应得资金。如因投资者清算账户余额不足，或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未及时足额划付资金，或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清算账户内资金被依法冻结或扣划，或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清算账户处于被挂失、冻结、注销或其他非正常状态等原因而导致交易失败</w:t>
      </w:r>
      <w:r>
        <w:rPr>
          <w:rFonts w:hint="eastAsia" w:ascii="宋体" w:hAnsi="宋体" w:eastAsia="宋体" w:cs="黑体"/>
          <w:sz w:val="24"/>
          <w:highlight w:val="none"/>
          <w:lang w:eastAsia="zh-CN"/>
        </w:rPr>
        <w:t>，</w:t>
      </w:r>
      <w:r>
        <w:rPr>
          <w:rFonts w:hint="eastAsia" w:ascii="宋体" w:hAnsi="宋体" w:eastAsia="宋体" w:cs="黑体"/>
          <w:sz w:val="24"/>
          <w:highlight w:val="none"/>
        </w:rPr>
        <w:t>对于因上述原因导致的交易失败可能带来的任何损失及预期损失，投资者须自行承担或向</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依法主张。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204" w:leftChars="85" w:firstLine="0" w:firstLineChars="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第五条 </w:t>
      </w:r>
      <w:r>
        <w:rPr>
          <w:rFonts w:hint="eastAsia" w:ascii="Calibri" w:hAnsi="Calibri" w:eastAsia="宋体" w:cs="黑体"/>
          <w:b/>
          <w:bCs/>
          <w:sz w:val="24"/>
          <w:highlight w:val="none"/>
          <w:lang w:val="en-US" w:eastAsia="zh-CN"/>
        </w:rPr>
        <w:t>违约责任及免责条款</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若因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原因导致司法或行政</w:t>
      </w:r>
      <w:r>
        <w:rPr>
          <w:rFonts w:hint="eastAsia" w:ascii="宋体" w:hAnsi="宋体" w:eastAsia="宋体" w:cs="黑体"/>
          <w:sz w:val="24"/>
          <w:highlight w:val="none"/>
          <w:lang w:eastAsia="zh-CN"/>
        </w:rPr>
        <w:t>等有权机关</w:t>
      </w:r>
      <w:r>
        <w:rPr>
          <w:rFonts w:hint="eastAsia" w:ascii="宋体" w:hAnsi="宋体" w:eastAsia="宋体" w:cs="黑体"/>
          <w:sz w:val="24"/>
          <w:highlight w:val="none"/>
        </w:rPr>
        <w:t>采取强制措施对其理财本金、收益进行部分或全部被扣划，均视投资者本人就全部理财本金进行了提前</w:t>
      </w:r>
      <w:r>
        <w:rPr>
          <w:rFonts w:hint="eastAsia" w:ascii="宋体" w:hAnsi="宋体" w:eastAsia="宋体" w:cs="黑体"/>
          <w:sz w:val="24"/>
          <w:highlight w:val="none"/>
          <w:lang w:eastAsia="zh-CN"/>
        </w:rPr>
        <w:t>赎回</w:t>
      </w:r>
      <w:r>
        <w:rPr>
          <w:rFonts w:hint="eastAsia" w:ascii="宋体" w:hAnsi="宋体" w:eastAsia="宋体" w:cs="黑体"/>
          <w:sz w:val="24"/>
          <w:highlight w:val="none"/>
        </w:rPr>
        <w:t>，本</w:t>
      </w:r>
      <w:r>
        <w:rPr>
          <w:rFonts w:hint="eastAsia" w:ascii="宋体" w:hAnsi="宋体" w:eastAsia="宋体" w:cs="黑体"/>
          <w:sz w:val="24"/>
          <w:highlight w:val="none"/>
          <w:lang w:eastAsia="zh-CN"/>
        </w:rPr>
        <w:t>协议</w:t>
      </w:r>
      <w:r>
        <w:rPr>
          <w:rFonts w:hint="eastAsia" w:ascii="宋体" w:hAnsi="宋体" w:eastAsia="宋体" w:cs="黑体"/>
          <w:sz w:val="24"/>
          <w:highlight w:val="none"/>
        </w:rPr>
        <w:t>自动终止。因提前终止而产生的损失及相关费用由投资者承担。本</w:t>
      </w:r>
      <w:r>
        <w:rPr>
          <w:rFonts w:hint="eastAsia" w:ascii="宋体" w:hAnsi="宋体" w:eastAsia="宋体" w:cs="黑体"/>
          <w:sz w:val="24"/>
          <w:highlight w:val="none"/>
          <w:lang w:eastAsia="zh-CN"/>
        </w:rPr>
        <w:t>协议因</w:t>
      </w:r>
      <w:r>
        <w:rPr>
          <w:rFonts w:hint="eastAsia" w:ascii="宋体" w:hAnsi="宋体" w:eastAsia="宋体" w:cs="黑体"/>
          <w:sz w:val="24"/>
          <w:highlight w:val="none"/>
        </w:rPr>
        <w:t>前述情况终止的，理财本金不计付</w:t>
      </w:r>
      <w:r>
        <w:rPr>
          <w:rFonts w:hint="eastAsia" w:ascii="宋体" w:hAnsi="宋体" w:eastAsia="宋体" w:cs="黑体"/>
          <w:sz w:val="24"/>
          <w:highlight w:val="none"/>
          <w:lang w:eastAsia="zh-CN"/>
        </w:rPr>
        <w:t>赎回</w:t>
      </w:r>
      <w:r>
        <w:rPr>
          <w:rFonts w:hint="eastAsia" w:ascii="宋体" w:hAnsi="宋体" w:eastAsia="宋体" w:cs="黑体"/>
          <w:sz w:val="24"/>
          <w:highlight w:val="none"/>
        </w:rPr>
        <w:t>日前的理财收益，也不计付存款利息。</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投资者违反本协议第二条内容，应承担相应违约责任。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对由此导致的理财业务交易延误、中断、终止及</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损失不承担任何责任，并有权单方终止双方理财业务关系。因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违反双方约定给</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或全体投资者造成损失的，</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应承担相应的赔偿责任。</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若由于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过错导致理财计划资产发生损失，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应按其过错承担赔偿责任，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赔偿的款项计入理财计划的资产和收益。</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由于地震、火灾、战争等不可抗力或突发重大卫生公共事件等不可预测事件造成的交易中断、延误等风险及损失，</w:t>
      </w:r>
      <w:r>
        <w:rPr>
          <w:rFonts w:hint="eastAsia" w:ascii="宋体" w:hAnsi="宋体" w:cs="黑体"/>
          <w:sz w:val="24"/>
          <w:highlight w:val="none"/>
          <w:lang w:eastAsia="zh-CN"/>
        </w:rPr>
        <w:t>销售机构</w:t>
      </w:r>
      <w:r>
        <w:rPr>
          <w:rFonts w:hint="eastAsia" w:ascii="宋体" w:hAnsi="宋体" w:eastAsia="宋体" w:cs="黑体"/>
          <w:sz w:val="24"/>
          <w:highlight w:val="none"/>
        </w:rPr>
        <w:t>不承担责任；但</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应在上述情况发生</w:t>
      </w:r>
      <w:r>
        <w:rPr>
          <w:rFonts w:hint="eastAsia" w:ascii="宋体" w:hAnsi="宋体" w:eastAsia="宋体" w:cs="黑体"/>
          <w:sz w:val="24"/>
          <w:highlight w:val="none"/>
          <w:lang w:eastAsia="zh-CN"/>
        </w:rPr>
        <w:t>后</w:t>
      </w:r>
      <w:r>
        <w:rPr>
          <w:rFonts w:hint="eastAsia" w:ascii="宋体" w:hAnsi="宋体" w:eastAsia="宋体" w:cs="黑体"/>
          <w:sz w:val="24"/>
          <w:highlight w:val="none"/>
        </w:rPr>
        <w:t>在条件允许时及时通知</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并采取一切必要且可能的措施阻止损失扩大。</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因国家有关法律、法规、规章、政策的修改或新的法律、法规、规章、政策颁布以及紧急措施的出台导致的风险及损失，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b/>
          <w:bCs/>
          <w:sz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第六条 </w:t>
      </w:r>
      <w:r>
        <w:rPr>
          <w:rFonts w:hint="eastAsia" w:ascii="Calibri" w:hAnsi="Calibri" w:eastAsia="宋体" w:cs="黑体"/>
          <w:b/>
          <w:bCs/>
          <w:sz w:val="24"/>
          <w:highlight w:val="none"/>
          <w:lang w:val="en-US" w:eastAsia="zh-CN"/>
        </w:rPr>
        <w:t>适用法律与争议解决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销售机构或管理人所在地人民法院诉讼解决。诉讼期间，未涉及争议的条款仍需继续履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第七条 </w:t>
      </w:r>
      <w:r>
        <w:rPr>
          <w:rFonts w:hint="eastAsia" w:ascii="Calibri" w:hAnsi="Calibri" w:eastAsia="宋体" w:cs="黑体"/>
          <w:b/>
          <w:bCs/>
          <w:sz w:val="24"/>
          <w:highlight w:val="none"/>
          <w:lang w:val="en-US" w:eastAsia="zh-CN"/>
        </w:rPr>
        <w:t>协议生效和终止</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双方认可本协议可以纸质或电子数据等形式提交、订立或确认。 </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本协议书以纸质书面形式订立的，自投资者签字和销售机构签章之后立即生效。协议一式</w:t>
      </w:r>
      <w:r>
        <w:rPr>
          <w:rFonts w:hint="eastAsia" w:ascii="宋体" w:hAnsi="宋体" w:eastAsia="宋体" w:cs="黑体"/>
          <w:sz w:val="24"/>
          <w:highlight w:val="none"/>
          <w:lang w:val="en-US" w:eastAsia="zh-CN"/>
        </w:rPr>
        <w:t>叁</w:t>
      </w:r>
      <w:r>
        <w:rPr>
          <w:rFonts w:hint="eastAsia" w:ascii="宋体" w:hAnsi="宋体" w:eastAsia="宋体" w:cs="黑体"/>
          <w:sz w:val="24"/>
          <w:highlight w:val="none"/>
        </w:rPr>
        <w:t>份，投资者</w:t>
      </w:r>
      <w:r>
        <w:rPr>
          <w:rFonts w:hint="eastAsia" w:ascii="宋体" w:hAnsi="宋体" w:eastAsia="宋体" w:cs="黑体"/>
          <w:sz w:val="24"/>
          <w:highlight w:val="none"/>
          <w:lang w:eastAsia="zh-CN"/>
        </w:rPr>
        <w:t>、</w:t>
      </w:r>
      <w:r>
        <w:rPr>
          <w:rFonts w:hint="eastAsia" w:ascii="宋体" w:hAnsi="宋体" w:eastAsia="宋体" w:cs="黑体"/>
          <w:sz w:val="24"/>
          <w:highlight w:val="none"/>
          <w:lang w:val="en-US" w:eastAsia="zh-CN"/>
        </w:rPr>
        <w:t>管理人</w:t>
      </w:r>
      <w:r>
        <w:rPr>
          <w:rFonts w:hint="eastAsia" w:ascii="宋体" w:hAnsi="宋体" w:eastAsia="宋体" w:cs="黑体"/>
          <w:sz w:val="24"/>
          <w:highlight w:val="none"/>
        </w:rPr>
        <w:t>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各执壹份，具有同等法律效力。 </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本协议书以数据电文形式订立的，投资者在销售机构的电子银行</w:t>
      </w:r>
      <w:r>
        <w:rPr>
          <w:rFonts w:hint="eastAsia" w:ascii="宋体" w:hAnsi="宋体" w:eastAsia="宋体" w:cs="黑体"/>
          <w:sz w:val="24"/>
          <w:highlight w:val="none"/>
          <w:lang w:eastAsia="zh-CN"/>
        </w:rPr>
        <w:t>渠道</w:t>
      </w:r>
      <w:r>
        <w:rPr>
          <w:rFonts w:hint="eastAsia" w:ascii="宋体" w:hAnsi="宋体" w:eastAsia="宋体" w:cs="黑体"/>
          <w:sz w:val="24"/>
          <w:highlight w:val="none"/>
        </w:rPr>
        <w:t>（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双方在本协议及对应期次的理财计划产品说明书项下权利义务履行完毕之日，本协议自动终止。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contextualSpacing/>
        <w:textAlignment w:val="auto"/>
        <w:rPr>
          <w:rFonts w:hint="eastAsia" w:ascii="宋体" w:hAnsi="宋体"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val="0"/>
          <w:sz w:val="24"/>
          <w:highlight w:val="none"/>
          <w:lang w:val="en-US" w:eastAsia="zh-CN"/>
        </w:rPr>
      </w:pPr>
      <w:r>
        <w:rPr>
          <w:rFonts w:hint="eastAsia" w:eastAsia="宋体" w:cs="黑体"/>
          <w:b/>
          <w:bCs w:val="0"/>
          <w:sz w:val="24"/>
          <w:highlight w:val="none"/>
          <w:lang w:val="en-US" w:eastAsia="zh-CN"/>
        </w:rPr>
        <w:t xml:space="preserve">第八条 </w:t>
      </w:r>
      <w:r>
        <w:rPr>
          <w:rFonts w:hint="eastAsia" w:ascii="Calibri" w:hAnsi="Calibri" w:eastAsia="宋体" w:cs="黑体"/>
          <w:b/>
          <w:bCs w:val="0"/>
          <w:sz w:val="24"/>
          <w:highlight w:val="none"/>
          <w:lang w:val="en-US" w:eastAsia="zh-CN"/>
        </w:rPr>
        <w:t xml:space="preserve">附则 </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如果投资者与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之间存在多份理财计划</w:t>
      </w:r>
      <w:r>
        <w:rPr>
          <w:rFonts w:hint="eastAsia" w:ascii="宋体" w:hAnsi="宋体" w:eastAsia="宋体" w:cs="黑体"/>
          <w:sz w:val="24"/>
          <w:highlight w:val="none"/>
          <w:lang w:val="en-US" w:eastAsia="zh-CN"/>
        </w:rPr>
        <w:t>销售</w:t>
      </w:r>
      <w:r>
        <w:rPr>
          <w:rFonts w:hint="eastAsia" w:ascii="宋体" w:hAnsi="宋体" w:eastAsia="宋体" w:cs="黑体"/>
          <w:sz w:val="24"/>
          <w:highlight w:val="none"/>
        </w:rPr>
        <w:t>协议书，则每一协议书分别与其所对应的</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产品说明书等销售文本单独构成一个理财计划合同，各个合同之间互相独立，每一合同的效力及履行情况均独立于其他合同。</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如果由于任何原因使本合同下的任何条款或内容成为无效或被依法撤销，本合同其他条款或内容的合法性、有效性和可执行性不受影响。</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在理财计划存续期内，如因监管政策或法律法规发生变化，在不损害投资者利益的前提下，</w:t>
      </w:r>
      <w:r>
        <w:rPr>
          <w:rFonts w:hint="eastAsia" w:ascii="宋体" w:hAnsi="宋体" w:eastAsia="宋体" w:cs="黑体"/>
          <w:sz w:val="24"/>
          <w:highlight w:val="none"/>
          <w:lang w:val="en-US" w:eastAsia="zh-CN"/>
        </w:rPr>
        <w:t>管理人</w:t>
      </w:r>
      <w:r>
        <w:rPr>
          <w:rFonts w:hint="eastAsia" w:ascii="宋体" w:hAnsi="宋体" w:eastAsia="宋体" w:cs="黑体"/>
          <w:sz w:val="24"/>
          <w:highlight w:val="none"/>
        </w:rPr>
        <w:t>有权单方对理财计划</w:t>
      </w:r>
      <w:r>
        <w:rPr>
          <w:rFonts w:hint="default" w:ascii="宋体" w:hAnsi="宋体" w:eastAsia="宋体" w:cs="黑体"/>
          <w:sz w:val="24"/>
          <w:highlight w:val="none"/>
          <w:lang w:val="en-US"/>
        </w:rPr>
        <w:t>合同</w:t>
      </w:r>
      <w:r>
        <w:rPr>
          <w:rFonts w:hint="eastAsia" w:ascii="宋体" w:hAnsi="宋体" w:eastAsia="宋体" w:cs="黑体"/>
          <w:sz w:val="24"/>
          <w:highlight w:val="none"/>
          <w:lang w:val="en-US" w:eastAsia="zh-CN"/>
        </w:rPr>
        <w:t>销售文件</w:t>
      </w:r>
      <w:r>
        <w:rPr>
          <w:rFonts w:hint="eastAsia" w:ascii="宋体" w:hAnsi="宋体" w:eastAsia="宋体" w:cs="黑体"/>
          <w:sz w:val="24"/>
          <w:highlight w:val="none"/>
        </w:rPr>
        <w:t>进行修订。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widowControl/>
        <w:spacing w:line="360" w:lineRule="auto"/>
        <w:jc w:val="right"/>
        <w:rPr>
          <w:rFonts w:hint="eastAsia" w:ascii="宋体" w:hAnsi="Wingdings" w:eastAsia="宋体" w:cs="宋体"/>
          <w:color w:val="000000"/>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杭银理财有限责任公司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val="0"/>
          <w:bCs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t>本页为</w:t>
      </w:r>
      <w:r>
        <w:rPr>
          <w:rFonts w:hint="eastAsia" w:ascii="宋体" w:hAnsi="宋体" w:eastAsia="宋体" w:cs="黑体"/>
          <w:b w:val="0"/>
          <w:bCs w:val="0"/>
          <w:sz w:val="24"/>
          <w:szCs w:val="24"/>
          <w:highlight w:val="none"/>
        </w:rPr>
        <w:t>纸质</w:t>
      </w:r>
      <w:r>
        <w:rPr>
          <w:rFonts w:hint="eastAsia" w:ascii="宋体" w:hAnsi="宋体" w:eastAsia="宋体" w:cs="黑体"/>
          <w:b w:val="0"/>
          <w:bCs w:val="0"/>
          <w:sz w:val="24"/>
          <w:szCs w:val="24"/>
          <w:highlight w:val="none"/>
          <w:lang w:val="en-US" w:eastAsia="zh-CN"/>
        </w:rPr>
        <w:t>形式（如有）销售协议书签章页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r>
        <w:rPr>
          <w:rFonts w:hint="eastAsia" w:ascii="宋体" w:hAnsi="宋体" w:eastAsia="宋体" w:cs="黑体"/>
          <w:b/>
          <w:bCs/>
          <w:sz w:val="24"/>
          <w:highlight w:val="none"/>
        </w:rPr>
        <w:t>投资者</w:t>
      </w:r>
      <w:r>
        <w:rPr>
          <w:rFonts w:hint="eastAsia" w:ascii="宋体" w:hAnsi="宋体" w:eastAsia="宋体" w:cs="黑体"/>
          <w:b/>
          <w:bCs/>
          <w:sz w:val="24"/>
          <w:highlight w:val="none"/>
          <w:lang w:eastAsia="zh-CN"/>
        </w:rPr>
        <w:t>（</w:t>
      </w:r>
      <w:r>
        <w:rPr>
          <w:rFonts w:hint="eastAsia" w:ascii="宋体" w:hAnsi="宋体" w:eastAsia="宋体" w:cs="黑体"/>
          <w:b/>
          <w:bCs/>
          <w:sz w:val="24"/>
          <w:highlight w:val="none"/>
        </w:rPr>
        <w:t>签字</w:t>
      </w:r>
      <w:r>
        <w:rPr>
          <w:rFonts w:hint="eastAsia" w:ascii="宋体" w:hAnsi="宋体" w:eastAsia="宋体" w:cs="黑体"/>
          <w:b/>
          <w:bCs/>
          <w:sz w:val="24"/>
          <w:highlight w:val="none"/>
          <w:lang w:eastAsia="zh-CN"/>
        </w:rPr>
        <w:t>或签章）</w:t>
      </w:r>
      <w:r>
        <w:rPr>
          <w:rFonts w:hint="eastAsia" w:ascii="宋体" w:hAnsi="宋体" w:eastAsia="宋体" w:cs="黑体"/>
          <w:b/>
          <w:bCs/>
          <w:sz w:val="24"/>
          <w:szCs w:val="24"/>
          <w:highlight w:val="none"/>
          <w:lang w:eastAsia="zh-CN"/>
        </w:rPr>
        <w:t>：</w:t>
      </w: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r>
        <w:rPr>
          <w:rFonts w:hint="eastAsia" w:ascii="宋体" w:hAnsi="宋体" w:eastAsia="宋体" w:cs="黑体"/>
          <w:b/>
          <w:bCs/>
          <w:sz w:val="24"/>
          <w:highlight w:val="none"/>
        </w:rPr>
        <w:t>销售机构签章</w:t>
      </w:r>
      <w:r>
        <w:rPr>
          <w:rFonts w:hint="eastAsia" w:ascii="宋体" w:hAnsi="宋体" w:eastAsia="宋体" w:cs="黑体"/>
          <w:b/>
          <w:bCs/>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spacing w:line="360" w:lineRule="auto"/>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left"/>
      <w:rPr>
        <w:rFonts w:hint="default" w:eastAsia="宋体"/>
        <w:b/>
        <w:bCs/>
        <w:lang w:val="en-US" w:eastAsia="zh-CN"/>
      </w:rPr>
    </w:pPr>
    <w:r>
      <w:rPr>
        <w:rFonts w:hint="default" w:eastAsia="宋体"/>
        <w:b/>
        <w:bCs/>
        <w:color w:val="auto"/>
        <w:lang w:val="en-US" w:eastAsia="zh-CN"/>
      </w:rPr>
      <w:drawing>
        <wp:anchor distT="0" distB="0" distL="114300" distR="114300" simplePos="0" relativeHeight="251659264" behindDoc="1" locked="0" layoutInCell="1" allowOverlap="1">
          <wp:simplePos x="0" y="0"/>
          <wp:positionH relativeFrom="column">
            <wp:posOffset>5181600</wp:posOffset>
          </wp:positionH>
          <wp:positionV relativeFrom="paragraph">
            <wp:posOffset>-585470</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b/>
        <w:bCs/>
        <w:color w:val="auto"/>
        <w:lang w:eastAsia="zh-CN"/>
      </w:rPr>
      <w:t>理财非存款</w:t>
    </w:r>
    <w:r>
      <w:rPr>
        <w:rFonts w:hint="eastAsia"/>
        <w:b/>
        <w:bCs/>
        <w:color w:val="auto"/>
        <w:lang w:val="en-US" w:eastAsia="zh-CN"/>
      </w:rPr>
      <w:t xml:space="preserve"> 产品有风险 投资须谨慎</w:t>
    </w:r>
    <w:r>
      <w:rPr>
        <w:rFonts w:hint="eastAsia"/>
        <w:b/>
        <w:bCs/>
        <w:color w:val="FF0000"/>
        <w:lang w:val="en-US" w:eastAsia="zh-CN"/>
      </w:rPr>
      <w:t xml:space="preserve">  </w:t>
    </w:r>
    <w:r>
      <w:rPr>
        <w:rFonts w:hint="eastAsia"/>
        <w:b/>
        <w:bCs/>
        <w:color w:val="auto"/>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879860"/>
    <w:multiLevelType w:val="singleLevel"/>
    <w:tmpl w:val="81879860"/>
    <w:lvl w:ilvl="0" w:tentative="0">
      <w:start w:val="8"/>
      <w:numFmt w:val="decimal"/>
      <w:suff w:val="nothing"/>
      <w:lvlText w:val="%1．"/>
      <w:lvlJc w:val="left"/>
      <w:pPr>
        <w:ind w:left="0" w:firstLine="403"/>
      </w:pPr>
      <w:rPr>
        <w:rFonts w:hint="default"/>
      </w:rPr>
    </w:lvl>
  </w:abstractNum>
  <w:abstractNum w:abstractNumId="1">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2">
    <w:nsid w:val="85460E80"/>
    <w:multiLevelType w:val="singleLevel"/>
    <w:tmpl w:val="85460E80"/>
    <w:lvl w:ilvl="0" w:tentative="0">
      <w:start w:val="1"/>
      <w:numFmt w:val="decimal"/>
      <w:suff w:val="nothing"/>
      <w:lvlText w:val="（%1）"/>
      <w:lvlJc w:val="left"/>
      <w:rPr>
        <w:rFonts w:hint="default"/>
        <w:b w:val="0"/>
        <w:bCs w:val="0"/>
      </w:rPr>
    </w:lvl>
  </w:abstractNum>
  <w:abstractNum w:abstractNumId="3">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4">
    <w:nsid w:val="8906C252"/>
    <w:multiLevelType w:val="singleLevel"/>
    <w:tmpl w:val="8906C252"/>
    <w:lvl w:ilvl="0" w:tentative="0">
      <w:start w:val="1"/>
      <w:numFmt w:val="decimal"/>
      <w:suff w:val="nothing"/>
      <w:lvlText w:val="（%1）"/>
      <w:lvlJc w:val="left"/>
      <w:rPr>
        <w:rFonts w:hint="default"/>
        <w:b w:val="0"/>
        <w:bCs w:val="0"/>
      </w:rPr>
    </w:lvl>
  </w:abstractNum>
  <w:abstractNum w:abstractNumId="5">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6">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7">
    <w:nsid w:val="8D2AB5FD"/>
    <w:multiLevelType w:val="singleLevel"/>
    <w:tmpl w:val="8D2AB5FD"/>
    <w:lvl w:ilvl="0" w:tentative="0">
      <w:start w:val="1"/>
      <w:numFmt w:val="chineseCounting"/>
      <w:suff w:val="nothing"/>
      <w:lvlText w:val="（%1）"/>
      <w:lvlJc w:val="left"/>
      <w:pPr>
        <w:ind w:left="0" w:firstLine="420"/>
      </w:pPr>
      <w:rPr>
        <w:rFonts w:hint="eastAsia"/>
        <w:highlight w:val="none"/>
      </w:rPr>
    </w:lvl>
  </w:abstractNum>
  <w:abstractNum w:abstractNumId="8">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9">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0">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1">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2">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3">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4">
    <w:nsid w:val="AC40BB97"/>
    <w:multiLevelType w:val="singleLevel"/>
    <w:tmpl w:val="AC40BB97"/>
    <w:lvl w:ilvl="0" w:tentative="0">
      <w:start w:val="1"/>
      <w:numFmt w:val="chineseCounting"/>
      <w:suff w:val="nothing"/>
      <w:lvlText w:val="%1、"/>
      <w:lvlJc w:val="left"/>
      <w:rPr>
        <w:rFonts w:hint="eastAsia"/>
      </w:rPr>
    </w:lvl>
  </w:abstractNum>
  <w:abstractNum w:abstractNumId="15">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6">
    <w:nsid w:val="B08226EF"/>
    <w:multiLevelType w:val="singleLevel"/>
    <w:tmpl w:val="B08226EF"/>
    <w:lvl w:ilvl="0" w:tentative="0">
      <w:start w:val="1"/>
      <w:numFmt w:val="chineseCounting"/>
      <w:suff w:val="space"/>
      <w:lvlText w:val="第%1条"/>
      <w:lvlJc w:val="left"/>
      <w:rPr>
        <w:rFonts w:hint="eastAsia"/>
      </w:rPr>
    </w:lvl>
  </w:abstractNum>
  <w:abstractNum w:abstractNumId="17">
    <w:nsid w:val="B74CE87F"/>
    <w:multiLevelType w:val="singleLevel"/>
    <w:tmpl w:val="B74CE87F"/>
    <w:lvl w:ilvl="0" w:tentative="0">
      <w:start w:val="1"/>
      <w:numFmt w:val="decimal"/>
      <w:suff w:val="nothing"/>
      <w:lvlText w:val="%1．"/>
      <w:lvlJc w:val="left"/>
      <w:pPr>
        <w:ind w:left="0" w:firstLine="400"/>
      </w:pPr>
      <w:rPr>
        <w:rFonts w:hint="default"/>
      </w:rPr>
    </w:lvl>
  </w:abstractNum>
  <w:abstractNum w:abstractNumId="18">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9">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20">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21">
    <w:nsid w:val="CEBF199A"/>
    <w:multiLevelType w:val="singleLevel"/>
    <w:tmpl w:val="CEBF199A"/>
    <w:lvl w:ilvl="0" w:tentative="0">
      <w:start w:val="1"/>
      <w:numFmt w:val="chineseCounting"/>
      <w:suff w:val="nothing"/>
      <w:lvlText w:val="（%1）"/>
      <w:lvlJc w:val="left"/>
      <w:pPr>
        <w:ind w:left="0" w:firstLine="420"/>
      </w:pPr>
      <w:rPr>
        <w:rFonts w:hint="eastAsia"/>
      </w:rPr>
    </w:lvl>
  </w:abstractNum>
  <w:abstractNum w:abstractNumId="22">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23">
    <w:nsid w:val="D86C2766"/>
    <w:multiLevelType w:val="singleLevel"/>
    <w:tmpl w:val="D86C2766"/>
    <w:lvl w:ilvl="0" w:tentative="0">
      <w:start w:val="5"/>
      <w:numFmt w:val="decimal"/>
      <w:suff w:val="nothing"/>
      <w:lvlText w:val="%1．"/>
      <w:lvlJc w:val="left"/>
      <w:pPr>
        <w:ind w:left="0" w:firstLine="403"/>
      </w:pPr>
      <w:rPr>
        <w:rFonts w:hint="default"/>
      </w:rPr>
    </w:lvl>
  </w:abstractNum>
  <w:abstractNum w:abstractNumId="24">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5">
    <w:nsid w:val="D8D75090"/>
    <w:multiLevelType w:val="singleLevel"/>
    <w:tmpl w:val="D8D75090"/>
    <w:lvl w:ilvl="0" w:tentative="0">
      <w:start w:val="1"/>
      <w:numFmt w:val="decimal"/>
      <w:suff w:val="nothing"/>
      <w:lvlText w:val="（%1）"/>
      <w:lvlJc w:val="left"/>
      <w:rPr>
        <w:rFonts w:hint="default"/>
        <w:b w:val="0"/>
        <w:bCs w:val="0"/>
      </w:rPr>
    </w:lvl>
  </w:abstractNum>
  <w:abstractNum w:abstractNumId="26">
    <w:nsid w:val="DD2251DF"/>
    <w:multiLevelType w:val="singleLevel"/>
    <w:tmpl w:val="DD2251DF"/>
    <w:lvl w:ilvl="0" w:tentative="0">
      <w:start w:val="1"/>
      <w:numFmt w:val="decimal"/>
      <w:suff w:val="nothing"/>
      <w:lvlText w:val="（%1）"/>
      <w:lvlJc w:val="left"/>
      <w:rPr>
        <w:rFonts w:hint="default"/>
        <w:b w:val="0"/>
        <w:bCs w:val="0"/>
      </w:rPr>
    </w:lvl>
  </w:abstractNum>
  <w:abstractNum w:abstractNumId="27">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8">
    <w:nsid w:val="E70DF796"/>
    <w:multiLevelType w:val="singleLevel"/>
    <w:tmpl w:val="E70DF796"/>
    <w:lvl w:ilvl="0" w:tentative="0">
      <w:start w:val="1"/>
      <w:numFmt w:val="decimal"/>
      <w:suff w:val="nothing"/>
      <w:lvlText w:val="（%1）"/>
      <w:lvlJc w:val="left"/>
    </w:lvl>
  </w:abstractNum>
  <w:abstractNum w:abstractNumId="29">
    <w:nsid w:val="EFF37F09"/>
    <w:multiLevelType w:val="singleLevel"/>
    <w:tmpl w:val="EFF37F09"/>
    <w:lvl w:ilvl="0" w:tentative="0">
      <w:start w:val="1"/>
      <w:numFmt w:val="decimal"/>
      <w:suff w:val="nothing"/>
      <w:lvlText w:val="（%1）"/>
      <w:lvlJc w:val="left"/>
      <w:rPr>
        <w:rFonts w:hint="default"/>
        <w:b w:val="0"/>
        <w:bCs w:val="0"/>
      </w:rPr>
    </w:lvl>
  </w:abstractNum>
  <w:abstractNum w:abstractNumId="30">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31">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32">
    <w:nsid w:val="F44DF26E"/>
    <w:multiLevelType w:val="singleLevel"/>
    <w:tmpl w:val="F44DF26E"/>
    <w:lvl w:ilvl="0" w:tentative="0">
      <w:start w:val="1"/>
      <w:numFmt w:val="decimal"/>
      <w:suff w:val="nothing"/>
      <w:lvlText w:val="%1．"/>
      <w:lvlJc w:val="left"/>
      <w:pPr>
        <w:ind w:left="0" w:firstLine="400"/>
      </w:pPr>
      <w:rPr>
        <w:rFonts w:hint="default"/>
      </w:rPr>
    </w:lvl>
  </w:abstractNum>
  <w:abstractNum w:abstractNumId="33">
    <w:nsid w:val="F574F5B6"/>
    <w:multiLevelType w:val="singleLevel"/>
    <w:tmpl w:val="F574F5B6"/>
    <w:lvl w:ilvl="0" w:tentative="0">
      <w:start w:val="1"/>
      <w:numFmt w:val="decimal"/>
      <w:suff w:val="nothing"/>
      <w:lvlText w:val="（%1）"/>
      <w:lvlJc w:val="left"/>
    </w:lvl>
  </w:abstractNum>
  <w:abstractNum w:abstractNumId="34">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35">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6">
    <w:nsid w:val="084A6179"/>
    <w:multiLevelType w:val="singleLevel"/>
    <w:tmpl w:val="084A6179"/>
    <w:lvl w:ilvl="0" w:tentative="0">
      <w:start w:val="1"/>
      <w:numFmt w:val="decimal"/>
      <w:suff w:val="nothing"/>
      <w:lvlText w:val="（%1）"/>
      <w:lvlJc w:val="left"/>
      <w:rPr>
        <w:rFonts w:hint="default"/>
        <w:highlight w:val="none"/>
      </w:rPr>
    </w:lvl>
  </w:abstractNum>
  <w:abstractNum w:abstractNumId="37">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8">
    <w:nsid w:val="1127010C"/>
    <w:multiLevelType w:val="singleLevel"/>
    <w:tmpl w:val="1127010C"/>
    <w:lvl w:ilvl="0" w:tentative="0">
      <w:start w:val="1"/>
      <w:numFmt w:val="decimal"/>
      <w:suff w:val="nothing"/>
      <w:lvlText w:val="%1．"/>
      <w:lvlJc w:val="left"/>
      <w:pPr>
        <w:ind w:left="0" w:firstLine="400"/>
      </w:pPr>
      <w:rPr>
        <w:rFonts w:hint="default" w:ascii="宋体" w:hAnsi="宋体" w:eastAsia="宋体" w:cs="宋体"/>
      </w:rPr>
    </w:lvl>
  </w:abstractNum>
  <w:abstractNum w:abstractNumId="39">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40">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41">
    <w:nsid w:val="167B0BB4"/>
    <w:multiLevelType w:val="singleLevel"/>
    <w:tmpl w:val="167B0BB4"/>
    <w:lvl w:ilvl="0" w:tentative="0">
      <w:start w:val="1"/>
      <w:numFmt w:val="decimal"/>
      <w:suff w:val="nothing"/>
      <w:lvlText w:val="（%1）"/>
      <w:lvlJc w:val="left"/>
    </w:lvl>
  </w:abstractNum>
  <w:abstractNum w:abstractNumId="42">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highlight w:val="none"/>
      </w:rPr>
    </w:lvl>
  </w:abstractNum>
  <w:abstractNum w:abstractNumId="43">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4">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45">
    <w:nsid w:val="2A987C4E"/>
    <w:multiLevelType w:val="singleLevel"/>
    <w:tmpl w:val="2A987C4E"/>
    <w:lvl w:ilvl="0" w:tentative="0">
      <w:start w:val="5"/>
      <w:numFmt w:val="decimal"/>
      <w:suff w:val="nothing"/>
      <w:lvlText w:val="%1．"/>
      <w:lvlJc w:val="left"/>
      <w:pPr>
        <w:ind w:left="0" w:firstLine="403"/>
      </w:pPr>
      <w:rPr>
        <w:rFonts w:hint="default"/>
      </w:rPr>
    </w:lvl>
  </w:abstractNum>
  <w:abstractNum w:abstractNumId="46">
    <w:nsid w:val="2CB63BE6"/>
    <w:multiLevelType w:val="singleLevel"/>
    <w:tmpl w:val="2CB63BE6"/>
    <w:lvl w:ilvl="0" w:tentative="0">
      <w:start w:val="1"/>
      <w:numFmt w:val="decimal"/>
      <w:suff w:val="nothing"/>
      <w:lvlText w:val="（%1）"/>
      <w:lvlJc w:val="left"/>
      <w:rPr>
        <w:rFonts w:hint="default"/>
        <w:b w:val="0"/>
        <w:bCs w:val="0"/>
      </w:rPr>
    </w:lvl>
  </w:abstractNum>
  <w:abstractNum w:abstractNumId="47">
    <w:nsid w:val="3775F290"/>
    <w:multiLevelType w:val="singleLevel"/>
    <w:tmpl w:val="3775F290"/>
    <w:lvl w:ilvl="0" w:tentative="0">
      <w:start w:val="7"/>
      <w:numFmt w:val="decimal"/>
      <w:suff w:val="nothing"/>
      <w:lvlText w:val="%1．"/>
      <w:lvlJc w:val="left"/>
      <w:pPr>
        <w:ind w:left="0" w:firstLine="403"/>
      </w:pPr>
      <w:rPr>
        <w:rFonts w:hint="default"/>
      </w:rPr>
    </w:lvl>
  </w:abstractNum>
  <w:abstractNum w:abstractNumId="48">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49">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50">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51">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2">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53">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54">
    <w:nsid w:val="4A032168"/>
    <w:multiLevelType w:val="singleLevel"/>
    <w:tmpl w:val="4A032168"/>
    <w:lvl w:ilvl="0" w:tentative="0">
      <w:start w:val="4"/>
      <w:numFmt w:val="decimal"/>
      <w:suff w:val="nothing"/>
      <w:lvlText w:val="%1．"/>
      <w:lvlJc w:val="left"/>
      <w:pPr>
        <w:ind w:left="0" w:firstLine="403"/>
      </w:pPr>
      <w:rPr>
        <w:rFonts w:hint="default"/>
        <w:highlight w:val="none"/>
      </w:rPr>
    </w:lvl>
  </w:abstractNum>
  <w:abstractNum w:abstractNumId="55">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56">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57">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58">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59">
    <w:nsid w:val="5BA91325"/>
    <w:multiLevelType w:val="singleLevel"/>
    <w:tmpl w:val="5BA91325"/>
    <w:lvl w:ilvl="0" w:tentative="0">
      <w:start w:val="1"/>
      <w:numFmt w:val="decimal"/>
      <w:suff w:val="nothing"/>
      <w:lvlText w:val="（%1）"/>
      <w:lvlJc w:val="left"/>
    </w:lvl>
  </w:abstractNum>
  <w:abstractNum w:abstractNumId="60">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61">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62">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63">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64">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65">
    <w:nsid w:val="60C03933"/>
    <w:multiLevelType w:val="singleLevel"/>
    <w:tmpl w:val="60C03933"/>
    <w:lvl w:ilvl="0" w:tentative="0">
      <w:start w:val="1"/>
      <w:numFmt w:val="chineseCounting"/>
      <w:suff w:val="nothing"/>
      <w:lvlText w:val="（%1）"/>
      <w:lvlJc w:val="left"/>
      <w:pPr>
        <w:ind w:left="0" w:firstLine="420"/>
      </w:pPr>
      <w:rPr>
        <w:rFonts w:hint="eastAsia"/>
      </w:rPr>
    </w:lvl>
  </w:abstractNum>
  <w:abstractNum w:abstractNumId="66">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67">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68">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69">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70">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71">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72">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73">
    <w:nsid w:val="60C03F4B"/>
    <w:multiLevelType w:val="singleLevel"/>
    <w:tmpl w:val="60C03F4B"/>
    <w:lvl w:ilvl="0" w:tentative="0">
      <w:start w:val="1"/>
      <w:numFmt w:val="chineseCounting"/>
      <w:suff w:val="nothing"/>
      <w:lvlText w:val="（%1）"/>
      <w:lvlJc w:val="left"/>
      <w:pPr>
        <w:ind w:left="0" w:firstLine="420"/>
      </w:pPr>
      <w:rPr>
        <w:rFonts w:hint="eastAsia"/>
      </w:rPr>
    </w:lvl>
  </w:abstractNum>
  <w:abstractNum w:abstractNumId="74">
    <w:nsid w:val="61CBC088"/>
    <w:multiLevelType w:val="singleLevel"/>
    <w:tmpl w:val="61CBC088"/>
    <w:lvl w:ilvl="0" w:tentative="0">
      <w:start w:val="1"/>
      <w:numFmt w:val="chineseCounting"/>
      <w:suff w:val="nothing"/>
      <w:lvlText w:val="（%1）"/>
      <w:lvlJc w:val="left"/>
      <w:pPr>
        <w:ind w:left="0" w:firstLine="420"/>
      </w:pPr>
      <w:rPr>
        <w:rFonts w:hint="eastAsia"/>
      </w:rPr>
    </w:lvl>
  </w:abstractNum>
  <w:abstractNum w:abstractNumId="75">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76">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77">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78">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79">
    <w:nsid w:val="61CBC28E"/>
    <w:multiLevelType w:val="singleLevel"/>
    <w:tmpl w:val="61CBC28E"/>
    <w:lvl w:ilvl="0" w:tentative="0">
      <w:start w:val="1"/>
      <w:numFmt w:val="chineseCounting"/>
      <w:suff w:val="nothing"/>
      <w:lvlText w:val="（%1）"/>
      <w:lvlJc w:val="left"/>
      <w:pPr>
        <w:ind w:left="0" w:firstLine="420"/>
      </w:pPr>
      <w:rPr>
        <w:rFonts w:hint="eastAsia"/>
      </w:rPr>
    </w:lvl>
  </w:abstractNum>
  <w:abstractNum w:abstractNumId="80">
    <w:nsid w:val="61F30F62"/>
    <w:multiLevelType w:val="singleLevel"/>
    <w:tmpl w:val="61F30F62"/>
    <w:lvl w:ilvl="0" w:tentative="0">
      <w:start w:val="1"/>
      <w:numFmt w:val="decimal"/>
      <w:suff w:val="nothing"/>
      <w:lvlText w:val="（%1）"/>
      <w:lvlJc w:val="left"/>
      <w:rPr>
        <w:rFonts w:hint="default"/>
        <w:b w:val="0"/>
        <w:bCs w:val="0"/>
      </w:rPr>
    </w:lvl>
  </w:abstractNum>
  <w:abstractNum w:abstractNumId="81">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82">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83">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4"/>
  </w:num>
  <w:num w:numId="2">
    <w:abstractNumId w:val="1"/>
  </w:num>
  <w:num w:numId="3">
    <w:abstractNumId w:val="51"/>
  </w:num>
  <w:num w:numId="4">
    <w:abstractNumId w:val="43"/>
  </w:num>
  <w:num w:numId="5">
    <w:abstractNumId w:val="21"/>
  </w:num>
  <w:num w:numId="6">
    <w:abstractNumId w:val="82"/>
  </w:num>
  <w:num w:numId="7">
    <w:abstractNumId w:val="37"/>
  </w:num>
  <w:num w:numId="8">
    <w:abstractNumId w:val="83"/>
  </w:num>
  <w:num w:numId="9">
    <w:abstractNumId w:val="57"/>
  </w:num>
  <w:num w:numId="10">
    <w:abstractNumId w:val="53"/>
  </w:num>
  <w:num w:numId="11">
    <w:abstractNumId w:val="34"/>
  </w:num>
  <w:num w:numId="12">
    <w:abstractNumId w:val="31"/>
  </w:num>
  <w:num w:numId="13">
    <w:abstractNumId w:val="39"/>
  </w:num>
  <w:num w:numId="14">
    <w:abstractNumId w:val="30"/>
  </w:num>
  <w:num w:numId="15">
    <w:abstractNumId w:val="22"/>
  </w:num>
  <w:num w:numId="16">
    <w:abstractNumId w:val="11"/>
  </w:num>
  <w:num w:numId="17">
    <w:abstractNumId w:val="18"/>
  </w:num>
  <w:num w:numId="18">
    <w:abstractNumId w:val="8"/>
  </w:num>
  <w:num w:numId="19">
    <w:abstractNumId w:val="9"/>
  </w:num>
  <w:num w:numId="20">
    <w:abstractNumId w:val="7"/>
  </w:num>
  <w:num w:numId="21">
    <w:abstractNumId w:val="38"/>
  </w:num>
  <w:num w:numId="22">
    <w:abstractNumId w:val="52"/>
  </w:num>
  <w:num w:numId="23">
    <w:abstractNumId w:val="33"/>
  </w:num>
  <w:num w:numId="24">
    <w:abstractNumId w:val="54"/>
  </w:num>
  <w:num w:numId="25">
    <w:abstractNumId w:val="59"/>
  </w:num>
  <w:num w:numId="26">
    <w:abstractNumId w:val="45"/>
  </w:num>
  <w:num w:numId="27">
    <w:abstractNumId w:val="20"/>
  </w:num>
  <w:num w:numId="28">
    <w:abstractNumId w:val="44"/>
  </w:num>
  <w:num w:numId="29">
    <w:abstractNumId w:val="24"/>
  </w:num>
  <w:num w:numId="30">
    <w:abstractNumId w:val="6"/>
  </w:num>
  <w:num w:numId="31">
    <w:abstractNumId w:val="56"/>
  </w:num>
  <w:num w:numId="32">
    <w:abstractNumId w:val="5"/>
  </w:num>
  <w:num w:numId="33">
    <w:abstractNumId w:val="36"/>
  </w:num>
  <w:num w:numId="34">
    <w:abstractNumId w:val="42"/>
  </w:num>
  <w:num w:numId="35">
    <w:abstractNumId w:val="81"/>
  </w:num>
  <w:num w:numId="36">
    <w:abstractNumId w:val="35"/>
  </w:num>
  <w:num w:numId="37">
    <w:abstractNumId w:val="23"/>
  </w:num>
  <w:num w:numId="38">
    <w:abstractNumId w:val="47"/>
  </w:num>
  <w:num w:numId="39">
    <w:abstractNumId w:val="0"/>
  </w:num>
  <w:num w:numId="40">
    <w:abstractNumId w:val="26"/>
  </w:num>
  <w:num w:numId="41">
    <w:abstractNumId w:val="50"/>
  </w:num>
  <w:num w:numId="42">
    <w:abstractNumId w:val="3"/>
  </w:num>
  <w:num w:numId="43">
    <w:abstractNumId w:val="27"/>
  </w:num>
  <w:num w:numId="44">
    <w:abstractNumId w:val="17"/>
  </w:num>
  <w:num w:numId="45">
    <w:abstractNumId w:val="55"/>
  </w:num>
  <w:num w:numId="46">
    <w:abstractNumId w:val="40"/>
  </w:num>
  <w:num w:numId="47">
    <w:abstractNumId w:val="19"/>
  </w:num>
  <w:num w:numId="48">
    <w:abstractNumId w:val="32"/>
  </w:num>
  <w:num w:numId="49">
    <w:abstractNumId w:val="28"/>
  </w:num>
  <w:num w:numId="50">
    <w:abstractNumId w:val="29"/>
  </w:num>
  <w:num w:numId="51">
    <w:abstractNumId w:val="80"/>
  </w:num>
  <w:num w:numId="52">
    <w:abstractNumId w:val="46"/>
  </w:num>
  <w:num w:numId="53">
    <w:abstractNumId w:val="2"/>
  </w:num>
  <w:num w:numId="54">
    <w:abstractNumId w:val="58"/>
  </w:num>
  <w:num w:numId="55">
    <w:abstractNumId w:val="12"/>
  </w:num>
  <w:num w:numId="56">
    <w:abstractNumId w:val="10"/>
  </w:num>
  <w:num w:numId="57">
    <w:abstractNumId w:val="13"/>
  </w:num>
  <w:num w:numId="58">
    <w:abstractNumId w:val="41"/>
  </w:num>
  <w:num w:numId="59">
    <w:abstractNumId w:val="25"/>
  </w:num>
  <w:num w:numId="60">
    <w:abstractNumId w:val="4"/>
  </w:num>
  <w:num w:numId="61">
    <w:abstractNumId w:val="49"/>
  </w:num>
  <w:num w:numId="62">
    <w:abstractNumId w:val="67"/>
  </w:num>
  <w:num w:numId="63">
    <w:abstractNumId w:val="66"/>
  </w:num>
  <w:num w:numId="64">
    <w:abstractNumId w:val="68"/>
  </w:num>
  <w:num w:numId="65">
    <w:abstractNumId w:val="69"/>
  </w:num>
  <w:num w:numId="66">
    <w:abstractNumId w:val="70"/>
  </w:num>
  <w:num w:numId="67">
    <w:abstractNumId w:val="71"/>
  </w:num>
  <w:num w:numId="68">
    <w:abstractNumId w:val="72"/>
  </w:num>
  <w:num w:numId="69">
    <w:abstractNumId w:val="73"/>
  </w:num>
  <w:num w:numId="70">
    <w:abstractNumId w:val="48"/>
  </w:num>
  <w:num w:numId="71">
    <w:abstractNumId w:val="16"/>
  </w:num>
  <w:num w:numId="72">
    <w:abstractNumId w:val="60"/>
  </w:num>
  <w:num w:numId="73">
    <w:abstractNumId w:val="61"/>
  </w:num>
  <w:num w:numId="74">
    <w:abstractNumId w:val="62"/>
  </w:num>
  <w:num w:numId="75">
    <w:abstractNumId w:val="63"/>
  </w:num>
  <w:num w:numId="76">
    <w:abstractNumId w:val="64"/>
  </w:num>
  <w:num w:numId="77">
    <w:abstractNumId w:val="65"/>
  </w:num>
  <w:num w:numId="78">
    <w:abstractNumId w:val="74"/>
  </w:num>
  <w:num w:numId="79">
    <w:abstractNumId w:val="75"/>
  </w:num>
  <w:num w:numId="80">
    <w:abstractNumId w:val="15"/>
  </w:num>
  <w:num w:numId="81">
    <w:abstractNumId w:val="76"/>
  </w:num>
  <w:num w:numId="82">
    <w:abstractNumId w:val="77"/>
  </w:num>
  <w:num w:numId="83">
    <w:abstractNumId w:val="78"/>
  </w:num>
  <w:num w:numId="84">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jOWZhYjNhMDcwZTUwMzk1N2Q1ZTljMmJlZmYyNzcifQ=="/>
  </w:docVars>
  <w:rsids>
    <w:rsidRoot w:val="00172A27"/>
    <w:rsid w:val="004A3A51"/>
    <w:rsid w:val="00D5498D"/>
    <w:rsid w:val="01364432"/>
    <w:rsid w:val="01523B8E"/>
    <w:rsid w:val="01BB3F30"/>
    <w:rsid w:val="01E60817"/>
    <w:rsid w:val="01FD241C"/>
    <w:rsid w:val="03B457E9"/>
    <w:rsid w:val="03F1228C"/>
    <w:rsid w:val="046C4318"/>
    <w:rsid w:val="05165B63"/>
    <w:rsid w:val="05E05E4D"/>
    <w:rsid w:val="05ED7265"/>
    <w:rsid w:val="06420CFA"/>
    <w:rsid w:val="06503B59"/>
    <w:rsid w:val="065B6789"/>
    <w:rsid w:val="06DA626B"/>
    <w:rsid w:val="06F301FD"/>
    <w:rsid w:val="0752555A"/>
    <w:rsid w:val="07536951"/>
    <w:rsid w:val="075E6CE3"/>
    <w:rsid w:val="07E45984"/>
    <w:rsid w:val="0828699A"/>
    <w:rsid w:val="087D4021"/>
    <w:rsid w:val="08E1077C"/>
    <w:rsid w:val="09155E8F"/>
    <w:rsid w:val="097E3F67"/>
    <w:rsid w:val="09FE573C"/>
    <w:rsid w:val="0A0C6349"/>
    <w:rsid w:val="0A1347F5"/>
    <w:rsid w:val="0A1F3796"/>
    <w:rsid w:val="0A2A32B9"/>
    <w:rsid w:val="0B8E27E3"/>
    <w:rsid w:val="0BF71AE2"/>
    <w:rsid w:val="0C9C7394"/>
    <w:rsid w:val="0CA6603D"/>
    <w:rsid w:val="0D0B1B00"/>
    <w:rsid w:val="0D3F210A"/>
    <w:rsid w:val="0E36795A"/>
    <w:rsid w:val="0E4A4B6F"/>
    <w:rsid w:val="0E9465E2"/>
    <w:rsid w:val="0EAE473F"/>
    <w:rsid w:val="0EF65480"/>
    <w:rsid w:val="0F3349D0"/>
    <w:rsid w:val="10776FA2"/>
    <w:rsid w:val="10E7087B"/>
    <w:rsid w:val="10FA5463"/>
    <w:rsid w:val="119C4829"/>
    <w:rsid w:val="11BA058F"/>
    <w:rsid w:val="12081858"/>
    <w:rsid w:val="12B62B3B"/>
    <w:rsid w:val="12F57C75"/>
    <w:rsid w:val="12F65E46"/>
    <w:rsid w:val="12F96486"/>
    <w:rsid w:val="13031153"/>
    <w:rsid w:val="13181417"/>
    <w:rsid w:val="135A629F"/>
    <w:rsid w:val="13CF7B8E"/>
    <w:rsid w:val="14B80FF2"/>
    <w:rsid w:val="14C57FED"/>
    <w:rsid w:val="150C5665"/>
    <w:rsid w:val="15485BE1"/>
    <w:rsid w:val="15C56302"/>
    <w:rsid w:val="160940BB"/>
    <w:rsid w:val="1659752C"/>
    <w:rsid w:val="16CE5BE1"/>
    <w:rsid w:val="16E43A7F"/>
    <w:rsid w:val="175F7C56"/>
    <w:rsid w:val="185A3DA1"/>
    <w:rsid w:val="198C4B50"/>
    <w:rsid w:val="19BB4557"/>
    <w:rsid w:val="19DA4F78"/>
    <w:rsid w:val="19F13F4F"/>
    <w:rsid w:val="1A102675"/>
    <w:rsid w:val="1A3B5FB6"/>
    <w:rsid w:val="1B280245"/>
    <w:rsid w:val="1B581220"/>
    <w:rsid w:val="1B6F72BC"/>
    <w:rsid w:val="1B843575"/>
    <w:rsid w:val="1BBE4697"/>
    <w:rsid w:val="1C257C2A"/>
    <w:rsid w:val="1CD6762A"/>
    <w:rsid w:val="1CFB3D7F"/>
    <w:rsid w:val="1D4D5B7F"/>
    <w:rsid w:val="1D5076C2"/>
    <w:rsid w:val="1D552DD9"/>
    <w:rsid w:val="1DAB6D83"/>
    <w:rsid w:val="1E3173A3"/>
    <w:rsid w:val="1E792E51"/>
    <w:rsid w:val="1F0F5A19"/>
    <w:rsid w:val="1F1D6E1F"/>
    <w:rsid w:val="1F3E7F7D"/>
    <w:rsid w:val="1F51312D"/>
    <w:rsid w:val="1FC9553A"/>
    <w:rsid w:val="204D3B12"/>
    <w:rsid w:val="205A2AB3"/>
    <w:rsid w:val="20B6224D"/>
    <w:rsid w:val="21025026"/>
    <w:rsid w:val="21036497"/>
    <w:rsid w:val="21CE3241"/>
    <w:rsid w:val="22A04AF7"/>
    <w:rsid w:val="22A73C8E"/>
    <w:rsid w:val="22D3594B"/>
    <w:rsid w:val="22F12819"/>
    <w:rsid w:val="22F16CBB"/>
    <w:rsid w:val="234F46D7"/>
    <w:rsid w:val="23753F06"/>
    <w:rsid w:val="238E1AAE"/>
    <w:rsid w:val="23DF60A6"/>
    <w:rsid w:val="24030B6D"/>
    <w:rsid w:val="24345B9A"/>
    <w:rsid w:val="245517BD"/>
    <w:rsid w:val="2483647E"/>
    <w:rsid w:val="256F076F"/>
    <w:rsid w:val="25AF7681"/>
    <w:rsid w:val="26527FFF"/>
    <w:rsid w:val="26820AF7"/>
    <w:rsid w:val="268D46D2"/>
    <w:rsid w:val="27947E62"/>
    <w:rsid w:val="27EB2573"/>
    <w:rsid w:val="292668E3"/>
    <w:rsid w:val="29361BBD"/>
    <w:rsid w:val="2A124404"/>
    <w:rsid w:val="2A1B5D68"/>
    <w:rsid w:val="2A5975B6"/>
    <w:rsid w:val="2A991D32"/>
    <w:rsid w:val="2AB92324"/>
    <w:rsid w:val="2AD6555A"/>
    <w:rsid w:val="2B376BE0"/>
    <w:rsid w:val="2B5B0398"/>
    <w:rsid w:val="2C1B1E9D"/>
    <w:rsid w:val="2CAB68C5"/>
    <w:rsid w:val="2E354AE5"/>
    <w:rsid w:val="2EBC6D03"/>
    <w:rsid w:val="2F196945"/>
    <w:rsid w:val="2F1F666C"/>
    <w:rsid w:val="2FD32A37"/>
    <w:rsid w:val="30111202"/>
    <w:rsid w:val="30551FFC"/>
    <w:rsid w:val="30EA059E"/>
    <w:rsid w:val="311F702A"/>
    <w:rsid w:val="31331DE0"/>
    <w:rsid w:val="31A82883"/>
    <w:rsid w:val="320E3E15"/>
    <w:rsid w:val="32B15B31"/>
    <w:rsid w:val="32C937E9"/>
    <w:rsid w:val="333F6AA7"/>
    <w:rsid w:val="3480359E"/>
    <w:rsid w:val="34BE4ED5"/>
    <w:rsid w:val="35476F5E"/>
    <w:rsid w:val="354D3F58"/>
    <w:rsid w:val="359A216E"/>
    <w:rsid w:val="35CB65AD"/>
    <w:rsid w:val="36631FD8"/>
    <w:rsid w:val="36C419F2"/>
    <w:rsid w:val="36E72D9B"/>
    <w:rsid w:val="36FD7080"/>
    <w:rsid w:val="379F2ED6"/>
    <w:rsid w:val="37CA172C"/>
    <w:rsid w:val="37DC2068"/>
    <w:rsid w:val="38071350"/>
    <w:rsid w:val="38224FD0"/>
    <w:rsid w:val="38E31C93"/>
    <w:rsid w:val="39775E90"/>
    <w:rsid w:val="39AC0F1B"/>
    <w:rsid w:val="39B95084"/>
    <w:rsid w:val="39BA0AF0"/>
    <w:rsid w:val="3A3E2041"/>
    <w:rsid w:val="3B131EF6"/>
    <w:rsid w:val="3B490D86"/>
    <w:rsid w:val="3BD74075"/>
    <w:rsid w:val="3C2F2290"/>
    <w:rsid w:val="3E2C1E51"/>
    <w:rsid w:val="3E6704D2"/>
    <w:rsid w:val="3EA67C14"/>
    <w:rsid w:val="3EAD1B36"/>
    <w:rsid w:val="3F056B9E"/>
    <w:rsid w:val="3F354A62"/>
    <w:rsid w:val="3FB01289"/>
    <w:rsid w:val="3FE233B8"/>
    <w:rsid w:val="3FF54C55"/>
    <w:rsid w:val="40181F9C"/>
    <w:rsid w:val="406370BC"/>
    <w:rsid w:val="40DF388D"/>
    <w:rsid w:val="40FB7670"/>
    <w:rsid w:val="41B60000"/>
    <w:rsid w:val="423C06E2"/>
    <w:rsid w:val="42815397"/>
    <w:rsid w:val="42C94634"/>
    <w:rsid w:val="43113F5B"/>
    <w:rsid w:val="43173FD8"/>
    <w:rsid w:val="43BB29BF"/>
    <w:rsid w:val="450724F9"/>
    <w:rsid w:val="45540446"/>
    <w:rsid w:val="458F3937"/>
    <w:rsid w:val="459F641E"/>
    <w:rsid w:val="45A93DC9"/>
    <w:rsid w:val="45BB5620"/>
    <w:rsid w:val="45EC58A2"/>
    <w:rsid w:val="45F127ED"/>
    <w:rsid w:val="46263D02"/>
    <w:rsid w:val="46CD66A0"/>
    <w:rsid w:val="472803B7"/>
    <w:rsid w:val="478411E4"/>
    <w:rsid w:val="48021DEB"/>
    <w:rsid w:val="488B59A4"/>
    <w:rsid w:val="48CC5267"/>
    <w:rsid w:val="494502E1"/>
    <w:rsid w:val="494C4325"/>
    <w:rsid w:val="49BB2867"/>
    <w:rsid w:val="4A010AC9"/>
    <w:rsid w:val="4A7F0ADF"/>
    <w:rsid w:val="4AA612F0"/>
    <w:rsid w:val="4B0D3113"/>
    <w:rsid w:val="4B660D6A"/>
    <w:rsid w:val="4B992D86"/>
    <w:rsid w:val="4C1A730D"/>
    <w:rsid w:val="4C6B0DDA"/>
    <w:rsid w:val="4C6E1306"/>
    <w:rsid w:val="4CC946ED"/>
    <w:rsid w:val="4CF979F4"/>
    <w:rsid w:val="4D8C0BC8"/>
    <w:rsid w:val="4E186164"/>
    <w:rsid w:val="4E247E9A"/>
    <w:rsid w:val="4E2F1033"/>
    <w:rsid w:val="4E8274B0"/>
    <w:rsid w:val="4EA65BC4"/>
    <w:rsid w:val="4EF420E3"/>
    <w:rsid w:val="4EFC1B31"/>
    <w:rsid w:val="4F2836A5"/>
    <w:rsid w:val="4FF363B3"/>
    <w:rsid w:val="501216FC"/>
    <w:rsid w:val="50944428"/>
    <w:rsid w:val="50B73634"/>
    <w:rsid w:val="51434E1B"/>
    <w:rsid w:val="51504FE6"/>
    <w:rsid w:val="54E90CED"/>
    <w:rsid w:val="54E91D9C"/>
    <w:rsid w:val="55A47BB4"/>
    <w:rsid w:val="5625142C"/>
    <w:rsid w:val="56B44788"/>
    <w:rsid w:val="570528AC"/>
    <w:rsid w:val="57141583"/>
    <w:rsid w:val="57BB6218"/>
    <w:rsid w:val="57FF3AAA"/>
    <w:rsid w:val="58DD2EEE"/>
    <w:rsid w:val="58E96C7A"/>
    <w:rsid w:val="59263C31"/>
    <w:rsid w:val="59AD3C67"/>
    <w:rsid w:val="5A4B183F"/>
    <w:rsid w:val="5B0D630F"/>
    <w:rsid w:val="5B602150"/>
    <w:rsid w:val="5B9919B4"/>
    <w:rsid w:val="5B9E0365"/>
    <w:rsid w:val="5BB70148"/>
    <w:rsid w:val="5BF22FE4"/>
    <w:rsid w:val="5C2F1987"/>
    <w:rsid w:val="5C3C3DDC"/>
    <w:rsid w:val="5D160516"/>
    <w:rsid w:val="5D690386"/>
    <w:rsid w:val="5D713BC5"/>
    <w:rsid w:val="5D7D0F36"/>
    <w:rsid w:val="5DB61BFF"/>
    <w:rsid w:val="5DEF454B"/>
    <w:rsid w:val="5E076A27"/>
    <w:rsid w:val="5E5A6C63"/>
    <w:rsid w:val="5F3C6712"/>
    <w:rsid w:val="5F4B58F3"/>
    <w:rsid w:val="6053481F"/>
    <w:rsid w:val="60553A8D"/>
    <w:rsid w:val="606E0DED"/>
    <w:rsid w:val="60AB2000"/>
    <w:rsid w:val="60F2599C"/>
    <w:rsid w:val="61C97391"/>
    <w:rsid w:val="61D85325"/>
    <w:rsid w:val="62860AAA"/>
    <w:rsid w:val="628B7CEE"/>
    <w:rsid w:val="629D5796"/>
    <w:rsid w:val="62B8299F"/>
    <w:rsid w:val="63FA4C5C"/>
    <w:rsid w:val="64102A52"/>
    <w:rsid w:val="64BC6713"/>
    <w:rsid w:val="64BE5A1E"/>
    <w:rsid w:val="66F54088"/>
    <w:rsid w:val="671E2162"/>
    <w:rsid w:val="676F4052"/>
    <w:rsid w:val="67C2281F"/>
    <w:rsid w:val="680C1A56"/>
    <w:rsid w:val="684F0C72"/>
    <w:rsid w:val="68D8721E"/>
    <w:rsid w:val="6A7F04CC"/>
    <w:rsid w:val="6A831914"/>
    <w:rsid w:val="6B4C3753"/>
    <w:rsid w:val="6B610D05"/>
    <w:rsid w:val="6BAC21D5"/>
    <w:rsid w:val="6CED1CB3"/>
    <w:rsid w:val="6D3B42C3"/>
    <w:rsid w:val="6D5A3D63"/>
    <w:rsid w:val="6D9A4080"/>
    <w:rsid w:val="6E1942EF"/>
    <w:rsid w:val="6E7E575F"/>
    <w:rsid w:val="6EC27507"/>
    <w:rsid w:val="6EF15941"/>
    <w:rsid w:val="6F926461"/>
    <w:rsid w:val="6F9921A1"/>
    <w:rsid w:val="6FA453FA"/>
    <w:rsid w:val="71EA2A00"/>
    <w:rsid w:val="720B7A64"/>
    <w:rsid w:val="720F6016"/>
    <w:rsid w:val="722D6F9E"/>
    <w:rsid w:val="73407EBD"/>
    <w:rsid w:val="73932176"/>
    <w:rsid w:val="73EF4563"/>
    <w:rsid w:val="74037319"/>
    <w:rsid w:val="74175679"/>
    <w:rsid w:val="744124AA"/>
    <w:rsid w:val="74664F47"/>
    <w:rsid w:val="756E538F"/>
    <w:rsid w:val="75D950C9"/>
    <w:rsid w:val="76F41323"/>
    <w:rsid w:val="77100360"/>
    <w:rsid w:val="778222EA"/>
    <w:rsid w:val="778B4219"/>
    <w:rsid w:val="77A30DC4"/>
    <w:rsid w:val="77A759E7"/>
    <w:rsid w:val="77E0572E"/>
    <w:rsid w:val="77ED4104"/>
    <w:rsid w:val="78EF4372"/>
    <w:rsid w:val="79771B00"/>
    <w:rsid w:val="7980282D"/>
    <w:rsid w:val="798F6426"/>
    <w:rsid w:val="79B94653"/>
    <w:rsid w:val="7ACA272A"/>
    <w:rsid w:val="7B0E7C70"/>
    <w:rsid w:val="7B2E004A"/>
    <w:rsid w:val="7B76641B"/>
    <w:rsid w:val="7BBF1397"/>
    <w:rsid w:val="7CED52DC"/>
    <w:rsid w:val="7D0E2167"/>
    <w:rsid w:val="7E6F339A"/>
    <w:rsid w:val="7E810662"/>
    <w:rsid w:val="7ED67E61"/>
    <w:rsid w:val="7F590AE3"/>
    <w:rsid w:val="7FB62C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4"/>
      <w:szCs w:val="24"/>
      <w:lang w:val="en-US" w:eastAsia="zh-CN" w:bidi="ar-SA"/>
    </w:rPr>
  </w:style>
  <w:style w:type="paragraph" w:styleId="2">
    <w:name w:val="heading 1"/>
    <w:basedOn w:val="1"/>
    <w:next w:val="1"/>
    <w:link w:val="23"/>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2"/>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21"/>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5">
    <w:name w:val="annotation text"/>
    <w:basedOn w:val="1"/>
    <w:link w:val="19"/>
    <w:qFormat/>
    <w:uiPriority w:val="0"/>
    <w:pPr>
      <w:jc w:val="left"/>
    </w:pPr>
  </w:style>
  <w:style w:type="paragraph" w:styleId="6">
    <w:name w:val="Balloon Text"/>
    <w:basedOn w:val="1"/>
    <w:link w:val="2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iPriority w:val="0"/>
    <w:rPr>
      <w:sz w:val="24"/>
    </w:rPr>
  </w:style>
  <w:style w:type="paragraph" w:styleId="10">
    <w:name w:val="annotation subject"/>
    <w:basedOn w:val="5"/>
    <w:next w:val="5"/>
    <w:link w:val="20"/>
    <w:qFormat/>
    <w:uiPriority w:val="0"/>
    <w:rPr>
      <w:b/>
      <w:bCs/>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qFormat/>
    <w:uiPriority w:val="0"/>
    <w:rPr>
      <w:sz w:val="21"/>
      <w:szCs w:val="21"/>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7">
    <w:name w:val="List Paragraph"/>
    <w:basedOn w:val="1"/>
    <w:unhideWhenUsed/>
    <w:qFormat/>
    <w:uiPriority w:val="99"/>
    <w:pPr>
      <w:ind w:firstLine="420" w:firstLineChars="200"/>
    </w:pPr>
  </w:style>
  <w:style w:type="paragraph" w:customStyle="1" w:styleId="18">
    <w:name w:val="样式1"/>
    <w:basedOn w:val="1"/>
    <w:next w:val="1"/>
    <w:qFormat/>
    <w:uiPriority w:val="0"/>
    <w:pPr>
      <w:keepNext/>
      <w:keepLines/>
      <w:spacing w:before="340" w:beforeLines="0" w:after="330" w:afterLines="0" w:line="576" w:lineRule="auto"/>
      <w:outlineLvl w:val="0"/>
    </w:pPr>
    <w:rPr>
      <w:rFonts w:hint="eastAsia"/>
      <w:b/>
      <w:kern w:val="44"/>
      <w:sz w:val="44"/>
    </w:rPr>
  </w:style>
  <w:style w:type="character" w:customStyle="1" w:styleId="19">
    <w:name w:val="批注文字 Char"/>
    <w:link w:val="5"/>
    <w:qFormat/>
    <w:uiPriority w:val="0"/>
    <w:rPr>
      <w:rFonts w:ascii="Calibri" w:hAnsi="Calibri" w:cs="黑体"/>
      <w:kern w:val="2"/>
      <w:sz w:val="21"/>
      <w:szCs w:val="24"/>
    </w:rPr>
  </w:style>
  <w:style w:type="character" w:customStyle="1" w:styleId="20">
    <w:name w:val="批注主题 Char"/>
    <w:link w:val="10"/>
    <w:uiPriority w:val="0"/>
    <w:rPr>
      <w:rFonts w:ascii="Calibri" w:hAnsi="Calibri" w:cs="黑体"/>
      <w:b/>
      <w:bCs/>
      <w:kern w:val="2"/>
      <w:sz w:val="21"/>
      <w:szCs w:val="24"/>
    </w:rPr>
  </w:style>
  <w:style w:type="character" w:customStyle="1" w:styleId="21">
    <w:name w:val="标题 3 Char"/>
    <w:link w:val="4"/>
    <w:qFormat/>
    <w:uiPriority w:val="0"/>
    <w:rPr>
      <w:rFonts w:hAnsi="Calibri" w:eastAsia="宋体"/>
      <w:b/>
      <w:sz w:val="24"/>
    </w:rPr>
  </w:style>
  <w:style w:type="character" w:customStyle="1" w:styleId="22">
    <w:name w:val="标题 2 Char"/>
    <w:link w:val="3"/>
    <w:qFormat/>
    <w:uiPriority w:val="0"/>
    <w:rPr>
      <w:rFonts w:ascii="Arial" w:hAnsi="Arial" w:eastAsia="宋体"/>
      <w:b/>
      <w:sz w:val="24"/>
    </w:rPr>
  </w:style>
  <w:style w:type="character" w:customStyle="1" w:styleId="23">
    <w:name w:val="标题 1 Char"/>
    <w:link w:val="2"/>
    <w:uiPriority w:val="0"/>
    <w:rPr>
      <w:rFonts w:eastAsia="宋体"/>
      <w:b/>
      <w:kern w:val="44"/>
      <w:sz w:val="44"/>
    </w:rPr>
  </w:style>
  <w:style w:type="character" w:customStyle="1" w:styleId="24">
    <w:name w:val="批注框文本 Char"/>
    <w:link w:val="6"/>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36656</Words>
  <Characters>39062</Characters>
  <Lines>1</Lines>
  <Paragraphs>1</Paragraphs>
  <TotalTime>0</TotalTime>
  <ScaleCrop>false</ScaleCrop>
  <LinksUpToDate>false</LinksUpToDate>
  <CharactersWithSpaces>39287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陈舒虹</dc:creator>
  <cp:lastModifiedBy>hccb</cp:lastModifiedBy>
  <dcterms:modified xsi:type="dcterms:W3CDTF">2025-03-04T05:54:03Z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06A49D61929F4201B4ADB8DA4C945300</vt:lpwstr>
  </property>
</Properties>
</file>