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幸福99丰裕固收386天25068期理财</w:t>
      </w:r>
      <w:r>
        <w:rPr>
          <w:rFonts w:hint="eastAsia" w:ascii="宋体" w:hAnsi="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r>
        <w:rPr>
          <w:rFonts w:hint="eastAsia" w:ascii="宋体" w:hAnsi="宋体" w:cs="宋体"/>
          <w:sz w:val="32"/>
          <w:szCs w:val="32"/>
          <w:highlight w:val="none"/>
        </w:rPr>
        <w:br w:type="page"/>
      </w: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幸福99丰裕固收386天25068期理财</w:t>
      </w:r>
      <w:r>
        <w:rPr>
          <w:rFonts w:hint="eastAsia" w:ascii="宋体" w:hAnsi="宋体" w:cs="宋体"/>
          <w:b/>
          <w:bCs/>
          <w:sz w:val="44"/>
          <w:szCs w:val="44"/>
          <w:highlight w:val="none"/>
        </w:rPr>
        <w:t>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幸福99丰裕固收386天25068期理财风险揭示书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幸福99丰裕固收386天25068期理财产品说明书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幸福99丰裕固收386天25068期理财</w:t>
      </w:r>
      <w:r>
        <w:rPr>
          <w:rFonts w:hint="eastAsia" w:ascii="宋体" w:hAnsi="宋体" w:cs="宋体"/>
          <w:b/>
          <w:bCs/>
          <w:sz w:val="44"/>
          <w:szCs w:val="44"/>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（202201版）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ascii="宋体" w:hAnsi="宋体" w:cs="宋体"/>
          <w:b/>
          <w:sz w:val="24"/>
          <w:highlight w:val="none"/>
        </w:rPr>
        <w:t>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关</w:t>
      </w:r>
      <w:r>
        <w:rPr>
          <w:rFonts w:ascii="宋体" w:hAnsi="宋体" w:cs="宋体"/>
          <w:b/>
          <w:sz w:val="24"/>
          <w:highlight w:val="none"/>
        </w:rPr>
        <w:t>联关系风险：本理财</w:t>
      </w:r>
      <w:r>
        <w:rPr>
          <w:rFonts w:hint="eastAsia" w:ascii="宋体" w:hAnsi="宋体" w:cs="宋体"/>
          <w:b/>
          <w:sz w:val="24"/>
          <w:highlight w:val="none"/>
        </w:rPr>
        <w:t>计划</w:t>
      </w:r>
      <w:r>
        <w:rPr>
          <w:rFonts w:ascii="宋体" w:hAnsi="宋体" w:cs="宋体"/>
          <w:b/>
          <w:sz w:val="24"/>
          <w:highlight w:val="none"/>
        </w:rPr>
        <w:t>销售机构</w:t>
      </w:r>
      <w:r>
        <w:rPr>
          <w:rFonts w:hint="eastAsia" w:ascii="宋体" w:hAnsi="宋体" w:cs="宋体"/>
          <w:b/>
          <w:sz w:val="24"/>
          <w:highlight w:val="none"/>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rPr>
        <w:t>理财计划</w:t>
      </w:r>
      <w:r>
        <w:rPr>
          <w:rFonts w:ascii="宋体" w:hAnsi="宋体" w:cs="宋体"/>
          <w:b/>
          <w:sz w:val="24"/>
          <w:highlight w:val="none"/>
        </w:rPr>
        <w:t>收益，不承担</w:t>
      </w:r>
      <w:r>
        <w:rPr>
          <w:rFonts w:hint="eastAsia" w:ascii="宋体" w:hAnsi="宋体" w:cs="宋体"/>
          <w:b/>
          <w:sz w:val="24"/>
          <w:highlight w:val="none"/>
        </w:rPr>
        <w:t>理财计划</w:t>
      </w:r>
      <w:r>
        <w:rPr>
          <w:rFonts w:ascii="宋体" w:hAnsi="宋体" w:cs="宋体"/>
          <w:b/>
          <w:sz w:val="24"/>
          <w:highlight w:val="none"/>
        </w:rPr>
        <w:t>的投资、兑付和风险管理责任。</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本理财计划为</w:t>
      </w:r>
      <w:r>
        <w:rPr>
          <w:rFonts w:hint="eastAsia" w:ascii="宋体" w:hAnsi="宋体" w:cs="宋体"/>
          <w:b/>
          <w:sz w:val="24"/>
          <w:highlight w:val="none"/>
          <w:lang w:val="en-US" w:eastAsia="zh-CN"/>
        </w:rPr>
        <w:t>公募</w:t>
      </w:r>
      <w:r>
        <w:rPr>
          <w:rFonts w:hint="eastAsia" w:ascii="宋体" w:hAnsi="宋体" w:cs="宋体"/>
          <w:b/>
          <w:sz w:val="24"/>
          <w:highlight w:val="none"/>
        </w:rPr>
        <w:t>、</w:t>
      </w:r>
      <w:r>
        <w:rPr>
          <w:rFonts w:hint="eastAsia" w:ascii="宋体" w:hAnsi="宋体" w:cs="宋体"/>
          <w:b/>
          <w:sz w:val="24"/>
          <w:highlight w:val="none"/>
          <w:lang w:val="en-US" w:eastAsia="zh-CN"/>
        </w:rPr>
        <w:t>封闭式</w:t>
      </w:r>
      <w:r>
        <w:rPr>
          <w:rFonts w:hint="eastAsia" w:ascii="宋体" w:hAnsi="宋体" w:cs="宋体"/>
          <w:b/>
          <w:sz w:val="24"/>
          <w:highlight w:val="none"/>
        </w:rPr>
        <w:t>、〖</w:t>
      </w:r>
      <w:r>
        <w:rPr>
          <w:rFonts w:hint="eastAsia" w:ascii="宋体" w:hAnsi="宋体" w:cs="宋体"/>
          <w:b/>
          <w:sz w:val="24"/>
          <w:highlight w:val="none"/>
          <w:lang w:val="en-US" w:eastAsia="zh-CN"/>
        </w:rPr>
        <w:t>固定收益类</w:t>
      </w:r>
      <w:r>
        <w:rPr>
          <w:rFonts w:hint="eastAsia" w:ascii="宋体" w:hAnsi="宋体" w:cs="宋体"/>
          <w:b/>
          <w:sz w:val="24"/>
          <w:highlight w:val="none"/>
        </w:rPr>
        <w:t>〗净值型理财计划，〖386天〗</w:t>
      </w:r>
      <w:r>
        <w:rPr>
          <w:rFonts w:hint="eastAsia" w:ascii="宋体" w:hAnsi="宋体" w:cs="宋体"/>
          <w:bCs/>
          <w:color w:val="000000"/>
          <w:sz w:val="24"/>
          <w:highlight w:val="none"/>
        </w:rPr>
        <w:t>，</w:t>
      </w:r>
      <w:r>
        <w:rPr>
          <w:rFonts w:hint="eastAsia" w:ascii="宋体" w:hAnsi="宋体" w:cs="宋体"/>
          <w:b/>
          <w:sz w:val="24"/>
          <w:highlight w:val="none"/>
        </w:rPr>
        <w:t>不保证本金与收益。根据本公司理财产品内部风险评级，该理财计划风险评级结果为〖</w:t>
      </w:r>
      <w:r>
        <w:rPr>
          <w:rFonts w:hint="eastAsia" w:ascii="宋体" w:hAnsi="宋体" w:cs="宋体"/>
          <w:b/>
          <w:sz w:val="24"/>
          <w:highlight w:val="none"/>
          <w:lang w:val="en-US" w:eastAsia="zh-CN"/>
        </w:rPr>
        <w:t>R2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w:t>
      </w:r>
      <w:r>
        <w:rPr>
          <w:rFonts w:hint="eastAsia" w:ascii="宋体" w:hAnsi="宋体" w:cs="宋体"/>
          <w:b/>
          <w:sz w:val="24"/>
          <w:highlight w:val="none"/>
          <w:lang w:val="en-US" w:eastAsia="zh-CN"/>
        </w:rPr>
        <w:t>程度较低，收益波动较小，虽然存在一些可能对产品本金和收益安全产生不利影响的因素，但产品本金出现损失的可能性较小</w:t>
      </w:r>
      <w:r>
        <w:rPr>
          <w:rFonts w:hint="eastAsia" w:ascii="宋体" w:hAnsi="宋体" w:cs="宋体"/>
          <w:b/>
          <w:sz w:val="24"/>
          <w:highlight w:val="none"/>
        </w:rPr>
        <w:t>〗。本理财计划适合〖机构投资者〗以及〖稳健型、平衡型、成长型、进取型〗的个人投资者，个人投资者的风险承受能力评估以销售机构为准。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3"/>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3"/>
        <w:spacing w:line="360" w:lineRule="auto"/>
        <w:jc w:val="both"/>
        <w:rPr>
          <w:rFonts w:hint="eastAsia" w:ascii="宋体" w:hAnsi="宋体" w:cs="宋体"/>
          <w:b/>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3"/>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3"/>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3"/>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3"/>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投资者确认栏（机构投资者）</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jc w:val="both"/>
        <w:rPr>
          <w:rFonts w:hint="eastAsia" w:ascii="宋体" w:hAnsi="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w:t>
      </w:r>
      <w:r>
        <w:rPr>
          <w:rFonts w:hint="eastAsia" w:ascii="宋体" w:hAnsi="宋体" w:cs="宋体"/>
          <w:b w:val="0"/>
          <w:bCs w:val="0"/>
          <w:color w:val="auto"/>
          <w:highlight w:val="none"/>
          <w:u w:val="none"/>
          <w:lang w:val="en-US" w:eastAsia="zh-CN"/>
        </w:rPr>
        <w:t>：</w:t>
      </w:r>
      <w:r>
        <w:rPr>
          <w:rFonts w:hint="eastAsia" w:ascii="宋体" w:hAnsi="宋体" w:eastAsia="宋体" w:cs="宋体"/>
          <w:b w:val="0"/>
          <w:bCs w:val="0"/>
          <w:color w:val="auto"/>
          <w:highlight w:val="none"/>
          <w:u w:val="none"/>
          <w:lang w:val="en-US" w:eastAsia="zh-CN"/>
        </w:rPr>
        <w:t xml:space="preserve">                          法定代表人或授权代理人（签章）</w:t>
      </w:r>
      <w:r>
        <w:rPr>
          <w:rFonts w:hint="eastAsia" w:ascii="宋体" w:hAnsi="宋体" w:cs="宋体"/>
          <w:b w:val="0"/>
          <w:bCs w:val="0"/>
          <w:color w:val="auto"/>
          <w:highlight w:val="none"/>
          <w:u w:val="none"/>
          <w:lang w:val="en-US" w:eastAsia="zh-CN"/>
        </w:rPr>
        <w:t>：</w:t>
      </w:r>
    </w:p>
    <w:p>
      <w:pPr>
        <w:pStyle w:val="13"/>
        <w:spacing w:line="360" w:lineRule="auto"/>
        <w:jc w:val="right"/>
        <w:rPr>
          <w:rFonts w:hint="default" w:ascii="宋体" w:hAnsi="宋体" w:cs="宋体"/>
          <w:b w:val="0"/>
          <w:bCs w:val="0"/>
          <w:color w:val="auto"/>
          <w:highlight w:val="none"/>
          <w:u w:val="none"/>
          <w:lang w:val="en-US" w:eastAsia="zh-CN"/>
        </w:rPr>
      </w:pPr>
      <w:r>
        <w:rPr>
          <w:rFonts w:hint="eastAsia" w:ascii="宋体" w:hAnsi="宋体" w:cs="宋体"/>
          <w:b w:val="0"/>
          <w:bCs w:val="0"/>
          <w:color w:val="auto"/>
          <w:highlight w:val="none"/>
          <w:u w:val="none"/>
          <w:lang w:val="en-US" w:eastAsia="zh-CN"/>
        </w:rPr>
        <w:t>投资者（签字）：</w:t>
      </w:r>
    </w:p>
    <w:p>
      <w:pPr>
        <w:pStyle w:val="13"/>
        <w:spacing w:line="360" w:lineRule="auto"/>
        <w:ind w:firstLine="480" w:firstLineChars="200"/>
        <w:jc w:val="right"/>
        <w:rPr>
          <w:rFonts w:hint="eastAsia" w:ascii="宋体" w:hAnsi="宋体" w:cs="宋体"/>
          <w:color w:val="auto"/>
          <w:highlight w:val="none"/>
        </w:rPr>
      </w:pPr>
      <w:bookmarkStart w:id="0" w:name="_GoBack"/>
      <w:bookmarkEnd w:id="0"/>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lang w:eastAsia="zh-CN"/>
        </w:rPr>
        <w:t>幸福99丰裕固收386天25068期理财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（202201版）</w:t>
      </w:r>
    </w:p>
    <w:p>
      <w:pPr>
        <w:spacing w:line="360" w:lineRule="auto"/>
        <w:jc w:val="right"/>
        <w:rPr>
          <w:rFonts w:hint="eastAsia" w:ascii="宋体" w:hAnsi="宋体" w:cs="宋体"/>
          <w:bCs/>
          <w:color w:val="auto"/>
          <w:sz w:val="24"/>
          <w:highlight w:val="none"/>
        </w:rPr>
      </w:pPr>
      <w:r>
        <w:rPr>
          <w:rFonts w:hint="eastAsia" w:ascii="宋体" w:hAnsi="宋体" w:cs="宋体"/>
          <w:color w:val="000000"/>
          <w:sz w:val="24"/>
          <w:highlight w:val="none"/>
        </w:rPr>
        <w:t>备案编号</w:t>
      </w:r>
      <w:r>
        <w:rPr>
          <w:rFonts w:hint="eastAsia" w:ascii="宋体" w:hAnsi="宋体" w:cs="宋体"/>
          <w:color w:val="auto"/>
          <w:sz w:val="24"/>
          <w:highlight w:val="none"/>
        </w:rPr>
        <w:t>:</w:t>
      </w:r>
      <w:r>
        <w:rPr>
          <w:rFonts w:hint="eastAsia" w:ascii="宋体" w:hAnsi="宋体" w:cs="宋体"/>
          <w:bCs/>
          <w:color w:val="auto"/>
          <w:sz w:val="24"/>
          <w:highlight w:val="none"/>
        </w:rPr>
        <w:t>〖</w:t>
      </w:r>
      <w:r>
        <w:rPr>
          <w:rFonts w:hint="eastAsia" w:ascii="宋体" w:hAnsi="宋体" w:cs="宋体"/>
          <w:color w:val="000000"/>
          <w:sz w:val="24"/>
          <w:highlight w:val="none"/>
          <w:lang w:val="en-US" w:eastAsia="zh-CN"/>
        </w:rPr>
        <w:t>Z7002225000118</w:t>
      </w:r>
      <w:r>
        <w:rPr>
          <w:rFonts w:hint="eastAsia" w:ascii="宋体" w:hAnsi="宋体" w:cs="宋体"/>
          <w:bCs/>
          <w:color w:val="auto"/>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交易合同。</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幸福99丰裕固收386天25068期理财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幸福99丰裕固收386天25068期理财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幸福99丰裕固收386天25068期理财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幸福99丰裕固收386天25068期理财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幸福99丰裕固收386天25068期理财</w:t>
      </w:r>
      <w:r>
        <w:rPr>
          <w:rFonts w:hint="eastAsia" w:ascii="宋体" w:hAnsi="宋体" w:cs="宋体"/>
          <w:bCs/>
          <w:color w:val="auto"/>
          <w:kern w:val="2"/>
          <w:highlight w:val="none"/>
        </w:rPr>
        <w:t>合同不可分割组成部分的理财计划销售协议书，以及对该文件的有效修改与补充。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幸福99丰裕固收386天25068期理财</w:t>
      </w:r>
      <w:r>
        <w:rPr>
          <w:rFonts w:hint="eastAsia" w:ascii="宋体" w:hAnsi="宋体" w:cs="宋体"/>
          <w:bCs/>
          <w:highlight w:val="none"/>
        </w:rPr>
        <w:t>。</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3"/>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3"/>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3"/>
        <w:adjustRightInd/>
        <w:spacing w:line="360" w:lineRule="auto"/>
        <w:rPr>
          <w:rFonts w:hint="eastAsia" w:ascii="宋体" w:hAnsi="宋体" w:cs="宋体"/>
          <w:bCs/>
          <w:color w:val="auto"/>
          <w:kern w:val="2"/>
          <w:highlight w:val="none"/>
        </w:rPr>
      </w:pPr>
    </w:p>
    <w:p>
      <w:pPr>
        <w:pStyle w:val="13"/>
        <w:numPr>
          <w:ilvl w:val="0"/>
          <w:numId w:val="17"/>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sz w:val="24"/>
          <w:highlight w:val="none"/>
          <w:lang w:val="en-US" w:eastAsia="zh-CN"/>
        </w:rPr>
        <w:t>R2</w:t>
      </w:r>
      <w:r>
        <w:rPr>
          <w:rFonts w:hint="eastAsia" w:ascii="宋体" w:hAnsi="宋体" w:cs="宋体"/>
          <w:b/>
          <w:color w:val="auto"/>
          <w:kern w:val="2"/>
          <w:highlight w:val="none"/>
        </w:rPr>
        <w:t>〗，〖</w:t>
      </w:r>
      <w:r>
        <w:rPr>
          <w:rFonts w:hint="eastAsia" w:ascii="宋体" w:hAnsi="宋体" w:cs="宋体"/>
          <w:b/>
          <w:sz w:val="24"/>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3"/>
        <w:adjustRightInd/>
        <w:spacing w:line="360" w:lineRule="auto"/>
        <w:rPr>
          <w:rFonts w:hint="eastAsia" w:ascii="宋体" w:hAnsi="宋体" w:cs="宋体"/>
          <w:bCs/>
          <w:color w:val="auto"/>
          <w:kern w:val="2"/>
          <w:highlight w:val="none"/>
        </w:rPr>
      </w:pPr>
    </w:p>
    <w:p>
      <w:pPr>
        <w:pStyle w:val="13"/>
        <w:numPr>
          <w:ilvl w:val="0"/>
          <w:numId w:val="17"/>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幸福99丰裕固收386天25068期理财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丰裕固收25068期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本理财计划在全国银行业理财信息登记系统的登记编码是〖Z7002225000118〗，投资者可依据该编码在“中国理财网（www.chinawealth.com.cn）”查询本理财计划信息。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A份额（销售代码〖FYG25068A〗）：部分代销机构客户。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B份额（销售代码〖FYG25068B〗）：部分代销机构客户。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C份额（销售代码〖FYG25068C〗）：部分代销机构客户。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D份额（销售代码〖FYG25068D〗）：部分代销机构客户。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G份额（销售代码〖FYG25068G〗）：部分代销机构客户。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H份额(北行专属)（销售代码〖FYG25068H〗）：部分代销机构客户。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J份额（销售代码〖FYG25068J〗）：部分代销机构客户。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K份额（鲲鹏优选）（销售代码〖FYG25068K〗）：部分代销机构客户。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L份额(兰州银行专属)（销售代码〖FYG25068L〗）：部分代销机构客户。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M份额（销售代码〖FYG25068M〗）：部分代销机构客户。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N份额惠享款(长长财富·专属)（销售代码〖FYG25068N〗）：部分代销机构客户。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P份额（芙蓉锦程·优选）（销售代码〖FYG25068P〗）：部分代销机构客户。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R份额惠享款吉行十二号（销售代码〖FYG25068R〗）：部分代销机构客户。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V份额（金芙蓉专属）（销售代码〖FYG25068V〗）：部分代销机构客户。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W份额惠享款（销售代码〖FYG25068W〗）：部分代销机构客户。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Y份额惠享款（销售代码〖FYG25068Y〗）：部分代销机构客户。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Z份额惠享款（销售代码〖FYG25068Z〗）：部分代销机构客户。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〖2025〗年〖4〗月〖1〗日-〖2025〗年〖4〗月〖7〗日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〖2025〗年〖4〗月〖8〗日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〖2026〗年〖4〗月〖29〗日，若到期日为非工作日则顺延至下一个工作日。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〖386〗天（实际理财期限受制于管理人提前终止权等条款）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产品续期</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本理财计划在到期日前如遇部分资产无法变现，为保障投资者权益，管理人有权进行一次或多次续期，并在到期日前〖5〗</w:t>
            </w:r>
            <w:r>
              <w:rPr>
                <w:rFonts w:hint="eastAsia" w:ascii="宋体" w:hAnsi="宋体" w:eastAsia="宋体" w:cs="宋体"/>
                <w:bCs/>
                <w:kern w:val="2"/>
                <w:sz w:val="21"/>
                <w:szCs w:val="21"/>
                <w:highlight w:val="none"/>
                <w:lang w:val="en-US" w:eastAsia="zh-CN" w:bidi="ar-SA"/>
              </w:rPr>
              <w:t>个工作日对外公告续期事宜及续期时间。理财计划在续期期间不得进行申购和赎回。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〖G份额〗起点〖1〗元整，超过认购起点部分，应为〖1〗元的整数倍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〖H份额〗起点〖1〗元整，超过认购起点部分，应为〖1〗元的整数倍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〖J份额〗起点〖1〗元整，超过认购起点部分，应为〖1〗元的整数倍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〖K份额〗起点〖1〗元整，超过认购起点部分，应为〖1〗元的整数倍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〖L份额〗起点〖1〗元整，超过认购起点部分，应为〖1〗元的整数倍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〖M份额〗起点〖1〗元整，超过认购起点部分，应为〖1〗元的整数倍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〖N份额〗起点〖1〗元整，超过认购起点部分，应为〖1〗元的整数倍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〖P份额〗起点〖1〗元整，超过认购起点部分，应为〖1〗元的整数倍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〖R份额〗起点〖1〗元整，超过认购起点部分，应为〖1〗元的整数倍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〖V份额〗起点〖1〗元整，超过认购起点部分，应为〖1〗元的整数倍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〖W份额〗起点〖1〗元整，超过认购起点部分，应为〖1〗元的整数倍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〖Y份额〗起点〖1〗元整，超过认购起点部分，应为〖1〗元的整数倍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〖Z份额〗起点〖1〗元整，超过认购起点部分，应为〖1〗元的整数倍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个工作日内（遇节假日顺延）理财资金与收益一次性支付。如遇资金在途或法定工作日调整，实际资金到账日以公告为准。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本理财计划〖D份额〗业绩比较基准为〖2.75%-3.15%〗（年化）。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本理财计划〖G份额〗业绩比较基准为〖2.93%-3.33%〗（年化）。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本理财计划〖H份额〗业绩比较基准为〖2.70%-3.10%〗（年化）。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本理财计划〖J份额〗业绩比较基准为〖2.85%-3.25%〗（年化）。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本理财计划〖K份额〗业绩比较基准为〖2.60%-3.00%〗（年化）。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本理财计划〖L份额〗业绩比较基准为〖2.80%-3.20%〗（年化）。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本理财计划〖M份额〗业绩比较基准为〖2.80%-3.20%〗（年化）。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本理财计划〖N份额〗业绩比较基准为〖2.70%-3.10%〗（年化）。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本理财计划〖P份额〗业绩比较基准为〖2.79%-3.19%〗（年化）。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本理财计划〖R份额〗业绩比较基准为〖2.75%-3.15%〗（年化）。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本理财计划〖V份额〗业绩比较基准为〖2.80%-3.20%〗（年化）。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本理财计划〖W份额〗业绩比较基准为〖2.60%-3.00%〗（年化）。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本理财计划〖Y份额〗业绩比较基准为〖2.70%-3.10%〗（年化）。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本理财计划〖Z份额〗业绩比较基准为〖2.80%-3.20%〗（年化）。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〖G份额〗收取年化〖0.01%〗的销售服务费, 〖H份额〗收取年化〖0.20%〗的销售服务费, 〖J份额〗收取年化〖0.05%〗的销售服务费, 〖K份额〗收取年化〖0.30%〗的销售服务费, 〖L份额〗收取年化〖0.10%〗的销售服务费, 〖M份额〗收取年化〖0.10%〗的销售服务费, 〖N份额〗收取年化〖0.20%〗的销售服务费, 〖P份额〗收取年化〖0.15%〗的销售服务费, 〖R份额〗收取年化〖0.15%〗的销售服务费, 〖V份额〗收取年化〖0.10%〗的销售服务费, 〖W份额〗收取年化〖0.30%〗的销售服务费, 〖Y份额〗收取年化〖0.20%〗的销售服务费, 〖Z份额〗收取年化〖0.10%〗的销售服务费。</w:t>
            </w:r>
            <w:r>
              <w:rPr>
                <w:rFonts w:hint="eastAsia" w:ascii="宋体" w:hAnsi="宋体" w:eastAsia="宋体" w:cs="宋体"/>
                <w:color w:val="000000"/>
                <w:kern w:val="2"/>
                <w:sz w:val="21"/>
                <w:szCs w:val="21"/>
                <w:lang w:val="en-US" w:eastAsia="zh-CN" w:bidi="ar-SA"/>
              </w:rPr>
              <w:t>其中〖A份额〗、〖B份额〗、〖C份额〗、〖D份额〗、〖G份额〗、〖H份额〗、〖J份额〗、〖K份额〗、〖L份额〗、〖M份额〗、〖P份额〗、〖V份额〗对应份额每日计提销售服务费；〖N份额〗、〖R份额〗、〖W份额〗、〖Y份额〗、〖Z份额〗对应份额销售服务费于产品成立日一次性收取。</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3.固定管理费：〖A份额〗收取年化〖0.05%〗的固定管理费, 〖B份额〗收取年化〖0.05%〗的固定管理费, 〖C份额〗收取年化〖0.05%〗的固定管理费, 〖D份额〗收取年化〖0.05%〗的固定管理费, 〖G份额〗收取年化〖0.01%〗的固定管理费, 〖H份额〗收取年化〖0.05%〗的固定管理费, 〖J份额〗收取年化〖0.05%〗的固定管理费, 〖K份额〗收取年化〖0.05%〗的固定管理费, 〖L份额〗收取年化〖0.05%〗的固定管理费, 〖M份额〗收取年化〖0.05%〗的固定管理费, 〖N份额〗收取年化〖0.05%〗的固定管理费, 〖P份额〗收取年化〖0.01%〗的固定管理费, 〖R份额〗收取年化〖0.05%〗的固定管理费, 〖V份额〗收取年化〖0.05%〗的固定管理费, 〖W份额〗收取年化〖0.05%〗的固定管理费, 〖Y份额〗收取年化〖0.05%〗的固定管理费, 〖Z份额〗收取年化〖0.05%〗的固定管理费。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〖50%〗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,在超过〖</w:t>
            </w:r>
            <w:r>
              <w:rPr>
                <w:rFonts w:hint="eastAsia" w:ascii="宋体" w:hAnsi="宋体" w:eastAsia="宋体" w:cs="宋体"/>
                <w:b w:val="0"/>
                <w:bCs/>
                <w:kern w:val="2"/>
                <w:sz w:val="21"/>
                <w:szCs w:val="21"/>
                <w:highlight w:val="none"/>
                <w:lang w:val="en-US" w:eastAsia="zh-CN" w:bidi="ar-SA"/>
              </w:rPr>
              <w:t>业绩比较基准上限</w:t>
            </w:r>
            <w:r>
              <w:rPr>
                <w:rFonts w:hint="eastAsia" w:ascii="宋体" w:hAnsi="宋体" w:eastAsia="宋体" w:cs="宋体"/>
                <w:b w:val="0"/>
                <w:bCs/>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〖80%〗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8"/>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0"/>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0"/>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color w:val="auto"/>
          <w:kern w:val="2"/>
          <w:sz w:val="24"/>
          <w:highlight w:val="none"/>
          <w:lang w:val="en-US" w:eastAsia="zh-CN"/>
        </w:rPr>
        <w:t>仅限境内发行优先股和永续债。</w:t>
      </w:r>
    </w:p>
    <w:p>
      <w:pPr>
        <w:numPr>
          <w:ilvl w:val="0"/>
          <w:numId w:val="1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3"/>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1个月</w:t>
      </w:r>
      <w:r>
        <w:rPr>
          <w:rFonts w:hint="eastAsia" w:ascii="宋体" w:hAnsi="宋体" w:cs="宋体"/>
          <w:highlight w:val="none"/>
        </w:rPr>
        <w:t>〗</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pStyle w:val="13"/>
        <w:adjustRightInd/>
        <w:spacing w:line="360" w:lineRule="auto"/>
        <w:ind w:firstLine="456" w:firstLineChars="190"/>
        <w:rPr>
          <w:rFonts w:ascii="宋体" w:hAnsi="宋体" w:cs="宋体"/>
          <w:bCs/>
          <w:color w:val="auto"/>
          <w:kern w:val="2"/>
          <w:highlight w:val="none"/>
        </w:rPr>
      </w:pPr>
      <w:r>
        <w:rPr>
          <w:rFonts w:hint="eastAsia" w:ascii="宋体" w:hAnsi="宋体" w:cs="宋体"/>
          <w:bCs/>
          <w:color w:val="auto"/>
          <w:kern w:val="2"/>
          <w:highlight w:val="none"/>
        </w:rPr>
        <w:t>本理财计划可以投资不存在活跃交易市场并且需要采用估值技术确定公允价值的资产，上述资产比例可以达到50%以上。</w:t>
      </w:r>
    </w:p>
    <w:p>
      <w:pPr>
        <w:numPr>
          <w:ilvl w:val="0"/>
          <w:numId w:val="1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3"/>
        <w:numPr>
          <w:ilvl w:val="0"/>
          <w:numId w:val="21"/>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3"/>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2"/>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3"/>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2"/>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1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1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28"/>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718"/>
        <w:gridCol w:w="4428"/>
      </w:tblGrid>
      <w:tr>
        <w:tblPrEx>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杭州银行股份有限公司</w:t>
            </w:r>
          </w:p>
        </w:tc>
        <w:tc>
          <w:tcPr>
            <w:tcW w:w="1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95398</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苏州银行股份有限公司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江苏省苏州工业园区钟园路728号</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96067</w:t>
            </w:r>
          </w:p>
        </w:tc>
      </w:tr>
      <w:tr>
        <w:tblPrEx>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厦门银行股份有限公司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福建省厦门市思明区湖滨北路101号商业银行大厦</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400-858-8888</w:t>
            </w:r>
          </w:p>
        </w:tc>
      </w:tr>
      <w:tr>
        <w:tblPrEx>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中信银行股份有限公司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北京市朝阳区光华路10号院1号楼6-30层、32-42层</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95558</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齐鲁银行股份有限公司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山东省济南市历下区经十路10817号</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400-609-6588</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甘肃省兰州市城关区东岗西路525—1号</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4008696666</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杭银理财有限责任公司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浙江省杭州市拱墅区庆春路38号金龙财富中心</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400-8950-999</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绍兴银行股份有限公司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浙江省绍兴市越城区中兴南路1号</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4000896528</w:t>
            </w:r>
          </w:p>
        </w:tc>
      </w:tr>
      <w:tr>
        <w:tblPrEx>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浙江萧山农村商业银行股份有限公司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浙江省杭州市萧山区城厢街道人民路258号</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4008896596</w:t>
            </w:r>
          </w:p>
        </w:tc>
      </w:tr>
      <w:tr>
        <w:tblPrEx>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海南省海口市龙华区海秀东路31号</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0898-96566</w:t>
            </w:r>
          </w:p>
        </w:tc>
      </w:tr>
      <w:tr>
        <w:tblPrEx>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秦皇岛银行股份有限公司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河北省秦皇岛市海港区河北大街西段560号</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0335-96336</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温州银行股份有限公司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浙江省温州市鹿城区会展路1316号</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0577-96699</w:t>
            </w:r>
          </w:p>
        </w:tc>
      </w:tr>
      <w:tr>
        <w:tblPrEx>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中邮邮惠万家银行有限责任公司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上海市虹口区东大名路1080号25层、26层</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95504</w:t>
            </w:r>
          </w:p>
        </w:tc>
      </w:tr>
      <w:tr>
        <w:tblPrEx>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大连农村商业银行股份有限公司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辽宁省大连经济技术开发区五彩城A区1栋-A1号</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96689</w:t>
            </w:r>
          </w:p>
        </w:tc>
      </w:tr>
      <w:tr>
        <w:tblPrEx>
          <w:tblCellMar>
            <w:top w:w="0" w:type="dxa"/>
            <w:left w:w="108" w:type="dxa"/>
            <w:bottom w:w="0" w:type="dxa"/>
            <w:right w:w="108" w:type="dxa"/>
          </w:tblCellMar>
        </w:tblPrEx>
        <w:trPr>
          <w:trHeight w:val="29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吉林银行股份有限公司</w:t>
            </w: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经济开发区东南湖大路1817号</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400-88-96666</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福建海峡银行股份有限公司</w:t>
            </w: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福建省福州市台江区江滨中大道358号</w:t>
            </w:r>
          </w:p>
        </w:tc>
      </w:tr>
      <w:tr>
        <w:tblPrEx>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400-893-9999</w:t>
            </w:r>
          </w:p>
        </w:tc>
      </w:tr>
      <w:tr>
        <w:tblPrEx>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后续如新增</w:t>
      </w:r>
      <w:r>
        <w:rPr>
          <w:rFonts w:hint="eastAsia" w:ascii="宋体" w:hAnsi="宋体" w:cs="宋体"/>
          <w:bCs/>
          <w:color w:val="000000"/>
          <w:sz w:val="24"/>
          <w:highlight w:val="none"/>
          <w:lang w:val="en-US" w:eastAsia="zh-CN"/>
        </w:rPr>
        <w:t>/减少销售机构或销售机构信息变更，请以管理人最新公告或官方网站展示为准</w:t>
      </w:r>
      <w:r>
        <w:rPr>
          <w:rFonts w:hint="eastAsia" w:ascii="宋体" w:hAnsi="宋体" w:cs="宋体"/>
          <w:bCs/>
          <w:color w:val="000000"/>
          <w:sz w:val="24"/>
          <w:highlight w:val="none"/>
        </w:rPr>
        <w:t>。</w:t>
      </w:r>
    </w:p>
    <w:p>
      <w:pPr>
        <w:spacing w:line="360" w:lineRule="auto"/>
        <w:ind w:firstLine="480" w:firstLineChars="200"/>
        <w:rPr>
          <w:rFonts w:hint="eastAsia" w:ascii="宋体" w:hAnsi="宋体" w:cs="宋体"/>
          <w:bCs/>
          <w:color w:val="000000"/>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3"/>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1"/>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1"/>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1"/>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3"/>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3"/>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2"/>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3"/>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3"/>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4"/>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20" w:firstLineChars="0"/>
        <w:jc w:val="lef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理财计划财产分为每日计提销售服务费的〖A份额〗、〖B份额〗、〖C份额〗、〖D份额〗、〖G份额〗、〖H份额〗、〖J份额〗、〖K份额〗、〖L份额〗、〖M份额〗、〖P份额〗、〖V份额〗和销售服务费于产品成立日一次性收取的〖N份额〗、〖R份额〗、〖W份额〗、〖Y份额〗、〖Z份额〗。A份额的年化销售服务费率为〖0.30%〗, B份额的年化销售服务费率为〖0.20%〗, C份额的年化销售服务费率为〖0.10%〗, D份额的年化销售服务费率为〖0.15%〗, G份额的年化销售服务费率为〖0.01%〗, H份额的年化销售服务费率为〖0.20%〗, J份额的年化销售服务费率为〖0.05%〗, K份额的年化销售服务费率为〖0.30%〗, L份额的年化销售服务费率为〖0.10%〗, M份额的年化销售服务费率为〖0.10%〗, N份额的年化销售服务费率为〖0.20%〗, P份额的年化销售服务费率为〖0.15%〗, R份额的年化销售服务费率为〖0.15%〗, V份额的年化销售服务费率为〖0.10%〗, W份额的年化销售服务费率为〖0.30%〗, Y份额的年化销售服务费率为〖0.20%〗, Z份额的年化销售服务费率为〖0.10%〗。两种计算方法如下：</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（1）销售费按日计提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H1＝E1×〖0.30%〗/365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H1为〖A份额〗每日应计提的销售服务费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E1为〖A份额〗前一日资产净值</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销售服务费原则上按日计提。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（2）销售费一次性收取</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H2＝E2×〖0.20%〗×P/365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H2为〖N份额〗应计提的销售服务费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E2为〖N份额〗成立日产品份额</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P为产品投资期限天数</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销售服务费于产品成立日一次性收取，每日摊销。</w:t>
      </w:r>
    </w:p>
    <w:p>
      <w:pPr>
        <w:numPr>
          <w:ilvl w:val="0"/>
          <w:numId w:val="34"/>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4"/>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理财计划财产A份额的年化固定管理费率为〖0.05%〗, B份额的年化固定管理费率为〖0.05%〗, C份额的年化固定管理费率为〖0.05%〗, D份额的年化固定管理费率为〖0.05%〗, G份额的年化固定管理费率为〖0.01%〗, H份额的年化固定管理费率为〖0.05%〗, J份额的年化固定管理费率为〖0.05%〗, K份额的年化固定管理费率为〖0.05%〗, L份额的年化固定管理费率为〖0.05%〗, M份额的年化固定管理费率为〖0.05%〗, N份额的年化固定管理费率为〖0.05%〗, P份额的年化固定管理费率为〖0.01%〗, R份额的年化固定管理费率为〖0.05%〗, V份额的年化固定管理费率为〖0.05%〗, W份额的年化固定管理费率为〖0.05%〗, Y份额的年化固定管理费率为〖0.05%〗, Z份额的年化固定管理费率为〖0.05%〗,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H＝E×〖0.05%</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4"/>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4"/>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%〗作为浮动管理费，超过〖业绩比较基准上限〗的部分管理人收取〖</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%〗+(R-S)×〖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H为产品到期（提前终止）时应收取浮动管理费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E为投资者持有份额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K为收取浮动管理费前投资者持有份额对应持有区间折合年化收益率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NAV0为产品成立日单位净值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NAV1为产品到期日未扣除浮动管理费前的单位净值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N为产品实际理财天数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T为产品运作期间每单位份额的实际分红金额合计（如有）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R为产品业绩比较基准上限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S为产品业绩比较基准下限</w:t>
      </w:r>
    </w:p>
    <w:p>
      <w:pPr>
        <w:numPr>
          <w:ilvl w:val="0"/>
          <w:numId w:val="34"/>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7"/>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7"/>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7"/>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3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39"/>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0元，折算份额为100,000.00份，假设理财期限为362天,</w:t>
      </w:r>
      <w:r>
        <w:rPr>
          <w:rFonts w:hint="eastAsia" w:ascii="宋体" w:hAnsi="宋体" w:cs="宋体"/>
          <w:bCs/>
          <w:color w:val="000000"/>
          <w:sz w:val="24"/>
          <w:highlight w:val="none"/>
          <w:lang w:val="en-US" w:eastAsia="zh-CN"/>
        </w:rPr>
        <w:t>业绩比较基准为4.0%-5.0%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到期时扣除托管费、固定管理费、销售服务费（如有）后，如理财计划净值为1.0615，此时，(1.0615/1.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00-1)×365/362=6.20%&gt;5.00%，即</w:t>
      </w:r>
      <w:r>
        <w:rPr>
          <w:rFonts w:hint="eastAsia" w:ascii="宋体" w:hAnsi="宋体" w:cs="宋体"/>
          <w:bCs/>
          <w:color w:val="000000"/>
          <w:sz w:val="24"/>
          <w:highlight w:val="none"/>
          <w:lang w:val="en-US" w:eastAsia="zh-CN"/>
        </w:rPr>
        <w:t>在</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4.00%-5.00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投资收益</w:t>
      </w:r>
      <w:r>
        <w:rPr>
          <w:rFonts w:hint="eastAsia" w:ascii="宋体" w:hAnsi="宋体" w:cs="宋体"/>
          <w:bCs/>
          <w:color w:val="000000"/>
          <w:sz w:val="24"/>
          <w:highlight w:val="none"/>
          <w:lang w:val="en-US" w:eastAsia="zh-CN"/>
        </w:rPr>
        <w:t>管理人收取80%作为浮动管理费，</w:t>
      </w:r>
      <w:r>
        <w:rPr>
          <w:rFonts w:hint="eastAsia" w:ascii="宋体" w:hAnsi="宋体" w:cs="宋体"/>
          <w:bCs/>
          <w:color w:val="000000"/>
          <w:sz w:val="24"/>
          <w:highlight w:val="none"/>
        </w:rPr>
        <w:t>超过〖5.00%〗</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w:t>
      </w:r>
      <w:r>
        <w:rPr>
          <w:rFonts w:hint="eastAsia" w:ascii="宋体" w:hAnsi="宋体" w:cs="宋体"/>
          <w:bCs/>
          <w:color w:val="000000"/>
          <w:sz w:val="24"/>
          <w:highlight w:val="none"/>
          <w:lang w:val="en-US" w:eastAsia="zh-CN"/>
        </w:rPr>
        <w:t>收益管理人收取100%作为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1.0615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365/362-5.00%）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100</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%-4</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%)×80%)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×362/365=</w:t>
      </w:r>
      <w:r>
        <w:rPr>
          <w:rFonts w:hint="eastAsia" w:ascii="宋体" w:hAnsi="宋体" w:cs="宋体"/>
          <w:bCs/>
          <w:color w:val="000000"/>
          <w:sz w:val="24"/>
          <w:highlight w:val="none"/>
          <w:lang w:val="en-US" w:eastAsia="zh-CN"/>
        </w:rPr>
        <w:t>1,984.52</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0,000.00×（1.0615-1.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00）-1,984.52= 4,165.48（元），理财计划到期时，投资者获得的实际收益相当于达到年化收益率水平为：4,165.48/100,000.00×365/362=</w:t>
      </w:r>
      <w:r>
        <w:rPr>
          <w:rFonts w:hint="eastAsia" w:ascii="宋体" w:hAnsi="宋体" w:cs="宋体"/>
          <w:bCs/>
          <w:color w:val="000000"/>
          <w:sz w:val="24"/>
          <w:highlight w:val="none"/>
          <w:lang w:val="en-US" w:eastAsia="zh-CN"/>
        </w:rPr>
        <w:t>4.20</w:t>
      </w:r>
      <w:r>
        <w:rPr>
          <w:rFonts w:hint="eastAsia" w:ascii="宋体" w:hAnsi="宋体" w:cs="宋体"/>
          <w:bCs/>
          <w:color w:val="000000"/>
          <w:sz w:val="24"/>
          <w:highlight w:val="none"/>
        </w:rPr>
        <w:t>%。</w:t>
      </w:r>
    </w:p>
    <w:p>
      <w:pPr>
        <w:numPr>
          <w:ilvl w:val="0"/>
          <w:numId w:val="39"/>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lang w:eastAsia="zh-CN"/>
        </w:rPr>
        <w:t>，</w:t>
      </w:r>
      <w:r>
        <w:rPr>
          <w:rFonts w:hint="eastAsia" w:ascii="宋体" w:hAnsi="宋体" w:cs="宋体"/>
          <w:b/>
          <w:color w:val="000000"/>
          <w:sz w:val="24"/>
          <w:highlight w:val="none"/>
          <w:lang w:val="en-US" w:eastAsia="zh-CN"/>
        </w:rPr>
        <w:t>但未达到业绩比较基准上限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0元，折算份额为100,000.00份,假设理财期限为362天,</w:t>
      </w:r>
      <w:r>
        <w:rPr>
          <w:rFonts w:hint="eastAsia" w:ascii="宋体" w:hAnsi="宋体" w:cs="宋体"/>
          <w:bCs/>
          <w:color w:val="000000"/>
          <w:sz w:val="24"/>
          <w:highlight w:val="none"/>
          <w:lang w:val="en-US" w:eastAsia="zh-CN"/>
        </w:rPr>
        <w:t>业绩比较基准为4.0%-5.0%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理财计划未扣除浮动管理费前的净值为1.0415，此时，(1.0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00-1)×365/362=4.18%，即投资收益超过〖4.00%〗</w:t>
      </w:r>
      <w:r>
        <w:rPr>
          <w:rFonts w:hint="eastAsia" w:ascii="宋体" w:hAnsi="宋体" w:cs="宋体"/>
          <w:bCs/>
          <w:color w:val="000000"/>
          <w:sz w:val="24"/>
          <w:highlight w:val="none"/>
          <w:lang w:val="en-US" w:eastAsia="zh-CN"/>
        </w:rPr>
        <w:t>但未达到</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.00%〗，则超过〖4.00%〗部分</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投资收益管理人收取</w:t>
      </w:r>
      <w:r>
        <w:rPr>
          <w:rFonts w:hint="eastAsia" w:ascii="宋体" w:hAnsi="宋体" w:cs="宋体"/>
          <w:bCs/>
          <w:color w:val="000000"/>
          <w:sz w:val="24"/>
          <w:highlight w:val="none"/>
          <w:lang w:val="en-US" w:eastAsia="zh-CN"/>
        </w:rPr>
        <w:t>80%作为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1.0415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365/362-4.00%]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80%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w:t>
      </w:r>
      <w:r>
        <w:rPr>
          <w:rFonts w:hint="eastAsia" w:ascii="宋体" w:hAnsi="宋体" w:cs="宋体"/>
          <w:bCs/>
          <w:color w:val="000000"/>
          <w:sz w:val="24"/>
          <w:highlight w:val="none"/>
        </w:rPr>
        <w:t>÷365=146.30（元）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00）-146.30 =4003.70（元），理财计划到期时，投资者获得的实际收益相当于达到年化收益率水平为：4003.70/100,000.00×365/362=4.04%。</w:t>
      </w:r>
    </w:p>
    <w:p>
      <w:pPr>
        <w:numPr>
          <w:ilvl w:val="0"/>
          <w:numId w:val="39"/>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元，折算份额为100,000.00份，假设理财期限为362天,</w:t>
      </w:r>
      <w:r>
        <w:rPr>
          <w:rFonts w:hint="eastAsia" w:ascii="宋体" w:hAnsi="宋体" w:cs="宋体"/>
          <w:bCs/>
          <w:color w:val="000000"/>
          <w:sz w:val="24"/>
          <w:highlight w:val="none"/>
          <w:lang w:val="en-US" w:eastAsia="zh-CN"/>
        </w:rPr>
        <w:t>业绩比较基准为4.0%-5.0%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到期时扣除托管费、固定管理费、销售服务费（如有）后，如理财计划未扣除浮动管理费前的净值为1.0362，此时，(1.0362/1.00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-1)×365/362=3.65%&lt;</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.00%，即投资收益未达到〖4.00%〗，则投资管理人不收取浮动管理费，投资者最终收益为：100,000.00×(1.0365-1.00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）=3,650.00（元）</w:t>
      </w:r>
    </w:p>
    <w:p>
      <w:pPr>
        <w:numPr>
          <w:ilvl w:val="0"/>
          <w:numId w:val="39"/>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以某投资者投资10万元为例，假设购买时理财计划净值为1.00元，折算份额为100,000.00份，假设理财期限为362天,</w:t>
      </w:r>
      <w:r>
        <w:rPr>
          <w:rFonts w:hint="eastAsia" w:ascii="宋体" w:hAnsi="宋体" w:cs="宋体"/>
          <w:bCs/>
          <w:color w:val="000000"/>
          <w:sz w:val="24"/>
          <w:highlight w:val="none"/>
          <w:lang w:val="en-US" w:eastAsia="zh-CN"/>
        </w:rPr>
        <w:t>业绩比较基准为4.0%-5.0%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到期时扣除托管费、固定管理费、销售服务费（如有）后，如理财计划未扣除浮动管理费前的净值为0.9975，则投资管理人不收取浮动管理费，投资者最终收益为：100,000.00×（0.9975-1.00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）=-250.00（元）。</w:t>
      </w:r>
    </w:p>
    <w:p>
      <w:pPr>
        <w:numPr>
          <w:ilvl w:val="0"/>
          <w:numId w:val="3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1"/>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1"/>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1"/>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2"/>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Cs w:val="21"/>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5"/>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6"/>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7"/>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6"/>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4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48"/>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48"/>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6"/>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5"/>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0"/>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销售机构或管理人所在地有管辖权的人民法院诉讼解决。</w:t>
      </w:r>
    </w:p>
    <w:p>
      <w:pPr>
        <w:numPr>
          <w:ilvl w:val="0"/>
          <w:numId w:val="5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（202201版）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1"/>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2"/>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2"/>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如销售机构对于机构投资者的风险承受能力评估有要求的，则参照销售机构相关评估标准或代理销售协议书执行。</w:t>
      </w:r>
    </w:p>
    <w:p>
      <w:pPr>
        <w:numPr>
          <w:ilvl w:val="0"/>
          <w:numId w:val="52"/>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理财计划风险揭示书、理财计划产品说明书、投资者权益须知、理财计划投资协议书和理财计划销售协议书）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2"/>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2"/>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52"/>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3"/>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3"/>
        <w:adjustRightInd/>
        <w:spacing w:line="360" w:lineRule="auto"/>
        <w:ind w:firstLine="480" w:firstLineChars="200"/>
        <w:rPr>
          <w:rFonts w:ascii="宋体" w:hAnsi="宋体" w:cs="宋体"/>
          <w:b/>
          <w:highlight w:val="none"/>
        </w:rPr>
      </w:pPr>
      <w:r>
        <w:rPr>
          <w:rFonts w:hint="eastAsia" w:ascii="宋体" w:hAnsi="宋体" w:cs="宋体"/>
          <w:bCs/>
          <w:color w:val="auto"/>
          <w:kern w:val="2"/>
          <w:highlight w:val="none"/>
        </w:rPr>
        <w:t>投资者风险承受能力评级水平以销售机构评估为准。</w:t>
      </w:r>
    </w:p>
    <w:p>
      <w:pPr>
        <w:numPr>
          <w:ilvl w:val="0"/>
          <w:numId w:val="54"/>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5"/>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5"/>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5"/>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6"/>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6"/>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6"/>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6"/>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理财计划风险揭示书、理财计划产品说明书、理财计划投资协议书和理财计划销售协议书的基础上，充分认识投资本理财计划需要承担的风险。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rPr>
      </w:pPr>
      <w:r>
        <w:rPr>
          <w:rFonts w:hint="eastAsia" w:ascii="宋体" w:hAnsi="宋体" w:cs="宋体"/>
          <w:b/>
          <w:kern w:val="0"/>
          <w:sz w:val="24"/>
        </w:rPr>
        <w:t>六、投诉与建议</w:t>
      </w:r>
    </w:p>
    <w:p>
      <w:pPr>
        <w:numPr>
          <w:ilvl w:val="0"/>
          <w:numId w:val="58"/>
        </w:numPr>
        <w:spacing w:line="360" w:lineRule="auto"/>
        <w:outlineLvl w:val="2"/>
        <w:rPr>
          <w:rFonts w:hint="eastAsia" w:ascii="宋体" w:hAnsi="宋体" w:cs="宋体"/>
          <w:kern w:val="0"/>
          <w:sz w:val="24"/>
        </w:rPr>
      </w:pPr>
      <w:r>
        <w:rPr>
          <w:rFonts w:hint="eastAsia" w:ascii="宋体" w:hAnsi="宋体" w:cs="宋体"/>
          <w:kern w:val="0"/>
          <w:sz w:val="24"/>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58"/>
        </w:numPr>
        <w:spacing w:line="360" w:lineRule="auto"/>
        <w:outlineLvl w:val="2"/>
        <w:rPr>
          <w:rFonts w:hint="eastAsia" w:ascii="宋体" w:hAnsi="宋体" w:cs="宋体"/>
          <w:kern w:val="0"/>
          <w:sz w:val="24"/>
        </w:rPr>
      </w:pPr>
      <w:r>
        <w:rPr>
          <w:rFonts w:hint="eastAsia" w:ascii="宋体" w:hAnsi="宋体" w:cs="宋体"/>
          <w:kern w:val="0"/>
          <w:sz w:val="24"/>
        </w:rPr>
        <w:t>投诉流程及联络方式</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投资者若需投诉，请随时拔打石嘴山银行(销售机构)24小时客户服务热线:96789;投资者也可拨打理财产品销售文件上载明的理财服务人员联系电话、销售网点联系电话进行投诉。</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相关部门和人员将在接到投资者的投诉后，按照以下流程进行处理:核实交易记录和交易情形、调查理财服务人员、形成反馈意见、反馈投资者并征询意见、按一致意见处理投诉等</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石嘴山银行官网网站:www.szsccb.com。</w:t>
      </w:r>
    </w:p>
    <w:p>
      <w:pPr>
        <w:numPr>
          <w:ilvl w:val="0"/>
          <w:numId w:val="58"/>
        </w:numPr>
        <w:spacing w:line="360" w:lineRule="auto"/>
        <w:outlineLvl w:val="2"/>
        <w:rPr>
          <w:rFonts w:hint="eastAsia" w:ascii="宋体" w:hAnsi="宋体" w:eastAsia="宋体" w:cs="宋体"/>
          <w:kern w:val="0"/>
          <w:sz w:val="24"/>
        </w:rPr>
      </w:pPr>
      <w:r>
        <w:rPr>
          <w:rFonts w:hint="eastAsia" w:ascii="宋体" w:hAnsi="宋体" w:eastAsia="宋体" w:cs="宋体"/>
          <w:kern w:val="0"/>
          <w:sz w:val="24"/>
        </w:rPr>
        <w:t>杭银理财联络方式：</w:t>
      </w:r>
    </w:p>
    <w:p>
      <w:pPr>
        <w:numPr>
          <w:ilvl w:val="0"/>
          <w:numId w:val="59"/>
        </w:numPr>
        <w:spacing w:line="360" w:lineRule="auto"/>
        <w:rPr>
          <w:rFonts w:hint="eastAsia" w:ascii="宋体" w:hAnsi="宋体" w:cs="宋体"/>
          <w:kern w:val="0"/>
          <w:sz w:val="24"/>
        </w:rPr>
      </w:pPr>
      <w:r>
        <w:rPr>
          <w:rFonts w:hint="eastAsia" w:ascii="宋体" w:hAnsi="宋体" w:cs="宋体"/>
          <w:kern w:val="0"/>
          <w:sz w:val="24"/>
        </w:rPr>
        <w:t>杭银理财联络方式：</w:t>
      </w:r>
    </w:p>
    <w:p>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官方网站：</w:t>
      </w:r>
      <w:r>
        <w:fldChar w:fldCharType="begin"/>
      </w:r>
      <w:r>
        <w:rPr>
          <w:rFonts w:ascii="宋体" w:hAnsi="宋体" w:cs="宋体"/>
          <w:kern w:val="0"/>
          <w:sz w:val="24"/>
        </w:rPr>
        <w:instrText xml:space="preserve"> HYPERLINK "https://www.hzbankwealth.com.cn/" \t "_blank" </w:instrText>
      </w:r>
      <w:r>
        <w:fldChar w:fldCharType="separate"/>
      </w:r>
      <w:r>
        <w:rPr>
          <w:rFonts w:ascii="宋体" w:hAnsi="宋体" w:cs="宋体"/>
          <w:kern w:val="0"/>
          <w:sz w:val="24"/>
        </w:rPr>
        <w:t>https://www.hzbankwealth.com.cn</w:t>
      </w:r>
      <w:r>
        <w:fldChar w:fldCharType="end"/>
      </w:r>
    </w:p>
    <w:p>
      <w:pPr>
        <w:spacing w:line="360" w:lineRule="auto"/>
        <w:ind w:firstLine="480" w:firstLineChars="200"/>
        <w:rPr>
          <w:rFonts w:ascii="宋体" w:hAnsi="宋体" w:cs="宋体"/>
          <w:kern w:val="0"/>
          <w:sz w:val="24"/>
        </w:rPr>
      </w:pPr>
      <w:r>
        <w:rPr>
          <w:rFonts w:hint="eastAsia" w:ascii="宋体" w:hAnsi="宋体" w:cs="宋体"/>
          <w:kern w:val="0"/>
          <w:sz w:val="24"/>
        </w:rPr>
        <w:t>客户服务热线：400-8950-999</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公司地址：杭州市拱墅区庆春路38号金龙财富中心6楼</w:t>
      </w:r>
    </w:p>
    <w:p>
      <w:pPr>
        <w:jc w:val="center"/>
        <w:outlineLvl w:val="0"/>
        <w:rPr>
          <w:rFonts w:hint="eastAsia"/>
          <w:b/>
          <w:sz w:val="44"/>
          <w:szCs w:val="44"/>
          <w:highlight w:val="none"/>
        </w:rPr>
      </w:pPr>
      <w:r>
        <w:rPr>
          <w:rFonts w:hint="eastAsia" w:ascii="宋体" w:hAnsi="宋体" w:cs="宋体"/>
          <w:kern w:val="0"/>
          <w:sz w:val="24"/>
        </w:rPr>
        <w:t>若上述联系方式变更，杭银理财将提前通过官方网站及时告知投资者。</w:t>
      </w: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（202201版）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理财计划风险揭示书、理财计划产品说明书、投资者权益须知及理财计划销售协议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0"/>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0"/>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0"/>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2"/>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0"/>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3"/>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0"/>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0"/>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赎回，本合同自动终止。因提前终止而产生的损失及相关费用由投资者承担。本合同前述情况终止的，理财本金不计付赎回日前的理财收益，也不计付存款利息。</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0"/>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的法律和行政法规。本合同项下的及与之有关的一切争议，投资者与管理人双方应首先协商解决，协商不成的，应提交销售机构或管理人所在地人民法院司法裁决。诉讼期间，未涉及争议的条款仍需继续履行。</w:t>
      </w:r>
    </w:p>
    <w:p>
      <w:pPr>
        <w:spacing w:line="360" w:lineRule="auto"/>
        <w:ind w:left="482"/>
        <w:rPr>
          <w:b/>
          <w:sz w:val="24"/>
          <w:highlight w:val="none"/>
        </w:rPr>
      </w:pPr>
    </w:p>
    <w:p>
      <w:pPr>
        <w:numPr>
          <w:ilvl w:val="0"/>
          <w:numId w:val="60"/>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本协议书以纸质书面形式订立的，自投资者签署（如投资者为个人，应签字；如投资者为机构，应法定代表人或授权代理人签字或盖章并加盖公章或有效授权印章）并经管理人系统确认购买理财计划份额之后立即生效。协议一式贰份，投资者和管理人双方各执壹份，具有同等法律效力。 </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0"/>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b/>
          <w:sz w:val="44"/>
          <w:szCs w:val="44"/>
          <w:highlight w:val="none"/>
        </w:rPr>
      </w:pPr>
      <w:r>
        <w:rPr>
          <w:rFonts w:hint="eastAsia" w:ascii="宋体" w:hAnsi="宋体" w:cs="宋体"/>
          <w:kern w:val="0"/>
          <w:highlight w:val="none"/>
        </w:rPr>
        <w:t>杭银理财有限责任公司</w:t>
      </w:r>
    </w:p>
    <w:p>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br w:type="page"/>
      </w:r>
    </w:p>
    <w:p>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本页为纸质形式（如有）投资协议书签章页</w:t>
      </w:r>
    </w:p>
    <w:p>
      <w:pPr>
        <w:spacing w:line="360" w:lineRule="auto"/>
        <w:rPr>
          <w:rFonts w:hint="eastAsia" w:ascii="宋体" w:hAnsi="宋体" w:cs="宋体"/>
          <w:bCs/>
          <w:color w:val="000000"/>
          <w:sz w:val="24"/>
          <w:highlight w:val="none"/>
        </w:rPr>
      </w:pPr>
    </w:p>
    <w:p>
      <w:pPr>
        <w:spacing w:line="360" w:lineRule="auto"/>
        <w:rPr>
          <w:rFonts w:hint="eastAsia" w:ascii="宋体" w:hAnsi="宋体" w:cs="宋体"/>
          <w:bCs/>
          <w:color w:val="000000"/>
          <w:sz w:val="24"/>
          <w:highlight w:val="none"/>
        </w:rPr>
      </w:pPr>
    </w:p>
    <w:p>
      <w:pPr>
        <w:spacing w:line="360" w:lineRule="auto"/>
        <w:rPr>
          <w:rFonts w:hint="eastAsia" w:ascii="宋体" w:hAnsi="宋体" w:cs="宋体"/>
          <w:bCs/>
          <w:color w:val="000000"/>
          <w:sz w:val="24"/>
          <w:highlight w:val="none"/>
        </w:rPr>
      </w:pPr>
    </w:p>
    <w:p>
      <w:pPr>
        <w:spacing w:line="360" w:lineRule="auto"/>
        <w:rPr>
          <w:rFonts w:hint="eastAsia" w:ascii="宋体" w:hAnsi="宋体" w:cs="宋体"/>
          <w:bCs/>
          <w:color w:val="000000"/>
          <w:sz w:val="24"/>
          <w:highlight w:val="none"/>
        </w:rPr>
      </w:pPr>
    </w:p>
    <w:p>
      <w:pPr>
        <w:spacing w:line="360" w:lineRule="auto"/>
        <w:rPr>
          <w:rFonts w:hint="eastAsia" w:ascii="宋体" w:hAnsi="宋体" w:cs="宋体"/>
          <w:bCs/>
          <w:color w:val="000000"/>
          <w:sz w:val="24"/>
          <w:highlight w:val="none"/>
        </w:rPr>
      </w:pPr>
    </w:p>
    <w:p>
      <w:pPr>
        <w:spacing w:line="360" w:lineRule="auto"/>
        <w:rPr>
          <w:rFonts w:hint="eastAsia" w:ascii="宋体" w:hAnsi="宋体" w:cs="宋体"/>
          <w:b/>
          <w:bCs w:val="0"/>
          <w:color w:val="000000"/>
          <w:sz w:val="24"/>
          <w:highlight w:val="none"/>
        </w:rPr>
      </w:pPr>
      <w:r>
        <w:rPr>
          <w:rFonts w:hint="eastAsia" w:ascii="宋体" w:hAnsi="宋体" w:cs="宋体"/>
          <w:b/>
          <w:bCs w:val="0"/>
          <w:color w:val="000000"/>
          <w:sz w:val="24"/>
          <w:highlight w:val="none"/>
        </w:rPr>
        <w:t>投资者（签字或签章）：</w:t>
      </w:r>
    </w:p>
    <w:p>
      <w:pPr>
        <w:spacing w:line="360" w:lineRule="auto"/>
        <w:rPr>
          <w:rFonts w:hint="eastAsia" w:ascii="宋体" w:hAnsi="宋体" w:cs="宋体"/>
          <w:b/>
          <w:bCs w:val="0"/>
          <w:color w:val="000000"/>
          <w:sz w:val="24"/>
          <w:highlight w:val="none"/>
        </w:rPr>
      </w:pPr>
    </w:p>
    <w:p>
      <w:pPr>
        <w:spacing w:line="360" w:lineRule="auto"/>
        <w:rPr>
          <w:rFonts w:hint="eastAsia" w:ascii="宋体" w:hAnsi="宋体" w:cs="宋体"/>
          <w:b/>
          <w:bCs w:val="0"/>
          <w:color w:val="000000"/>
          <w:sz w:val="24"/>
          <w:highlight w:val="none"/>
        </w:rPr>
      </w:pPr>
    </w:p>
    <w:p>
      <w:pPr>
        <w:spacing w:line="360" w:lineRule="auto"/>
        <w:rPr>
          <w:rFonts w:hint="eastAsia" w:ascii="宋体" w:hAnsi="宋体" w:cs="宋体"/>
          <w:b/>
          <w:bCs w:val="0"/>
          <w:color w:val="000000"/>
          <w:sz w:val="24"/>
          <w:highlight w:val="none"/>
        </w:rPr>
      </w:pPr>
    </w:p>
    <w:p>
      <w:pPr>
        <w:spacing w:line="360" w:lineRule="auto"/>
        <w:jc w:val="right"/>
        <w:rPr>
          <w:rFonts w:hint="eastAsia" w:ascii="宋体" w:hAnsi="宋体" w:cs="宋体"/>
          <w:bCs/>
          <w:color w:val="000000"/>
          <w:sz w:val="24"/>
          <w:highlight w:val="none"/>
        </w:rPr>
      </w:pPr>
    </w:p>
    <w:p>
      <w:pPr>
        <w:jc w:val="right"/>
        <w:outlineLvl w:val="9"/>
        <w:rPr>
          <w:rFonts w:hint="eastAsia" w:ascii="Arial" w:hAnsi="Arial" w:eastAsia="宋体" w:cs="黑体"/>
          <w:bCs w:val="0"/>
          <w:sz w:val="24"/>
          <w:highlight w:val="none"/>
        </w:rPr>
      </w:pPr>
      <w:r>
        <w:rPr>
          <w:rFonts w:hint="eastAsia" w:ascii="宋体" w:hAnsi="宋体" w:cs="宋体"/>
          <w:bCs/>
          <w:color w:val="000000"/>
          <w:sz w:val="24"/>
          <w:highlight w:val="none"/>
        </w:rPr>
        <w:t xml:space="preserve">                                        </w:t>
      </w:r>
      <w:r>
        <w:rPr>
          <w:rFonts w:hint="eastAsia" w:ascii="Arial" w:hAnsi="Arial" w:eastAsia="宋体" w:cs="黑体"/>
          <w:bCs w:val="0"/>
          <w:sz w:val="24"/>
          <w:highlight w:val="none"/>
        </w:rPr>
        <w:t>年   月   日</w:t>
      </w:r>
    </w:p>
    <w:p>
      <w:pPr>
        <w:jc w:val="center"/>
        <w:outlineLvl w:val="0"/>
        <w:rPr>
          <w:rFonts w:hint="eastAsia"/>
          <w:b/>
          <w:sz w:val="44"/>
          <w:szCs w:val="44"/>
          <w:highlight w:val="none"/>
        </w:rPr>
      </w:pPr>
      <w:r>
        <w:rPr>
          <w:rFonts w:hint="eastAsia" w:ascii="宋体" w:hAnsi="宋体" w:cs="宋体"/>
          <w:bCs/>
          <w:color w:val="000000"/>
          <w:sz w:val="24"/>
          <w:highlight w:val="none"/>
        </w:rPr>
        <w:br w:type="page"/>
      </w:r>
      <w:r>
        <w:rPr>
          <w:rFonts w:hint="eastAsia"/>
          <w:b/>
          <w:sz w:val="44"/>
          <w:szCs w:val="44"/>
          <w:highlight w:val="none"/>
        </w:rPr>
        <w:t>杭银理财理财计划销售协议书</w:t>
      </w:r>
    </w:p>
    <w:p>
      <w:pPr>
        <w:jc w:val="center"/>
        <w:rPr>
          <w:rFonts w:hint="eastAsia" w:ascii="宋体" w:hAnsi="宋体" w:cs="宋体"/>
          <w:sz w:val="28"/>
          <w:szCs w:val="28"/>
          <w:highlight w:val="none"/>
        </w:rPr>
      </w:pPr>
      <w:r>
        <w:rPr>
          <w:rFonts w:hint="eastAsia" w:ascii="宋体" w:hAnsi="宋体" w:cs="宋体"/>
          <w:sz w:val="28"/>
          <w:szCs w:val="28"/>
          <w:highlight w:val="none"/>
        </w:rPr>
        <w:t>（202201版）</w:t>
      </w:r>
    </w:p>
    <w:p>
      <w:pPr>
        <w:spacing w:line="360" w:lineRule="auto"/>
        <w:jc w:val="center"/>
        <w:rPr>
          <w:sz w:val="32"/>
          <w:szCs w:val="40"/>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特别提示：《杭银理财理财计划销售协议书</w:t>
      </w:r>
      <w:r>
        <w:rPr>
          <w:rFonts w:hint="eastAsia" w:ascii="宋体" w:hAnsi="宋体" w:cs="宋体"/>
          <w:b/>
          <w:bCs/>
          <w:sz w:val="24"/>
          <w:highlight w:val="none"/>
        </w:rPr>
        <w:t>（202201</w:t>
      </w:r>
      <w:r>
        <w:rPr>
          <w:rFonts w:hint="eastAsia"/>
          <w:b/>
          <w:bCs/>
          <w:sz w:val="24"/>
          <w:highlight w:val="none"/>
        </w:rPr>
        <w:t>版）》与对应期次的理财计划风险揭示书、理财计划产品说明书、投资者权益须知及理财计划投资协议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spacing w:line="360" w:lineRule="auto"/>
        <w:ind w:firstLine="482" w:firstLineChars="200"/>
        <w:rPr>
          <w:b/>
          <w:bCs/>
          <w:sz w:val="24"/>
          <w:highlight w:val="none"/>
        </w:rPr>
      </w:pPr>
      <w:r>
        <w:rPr>
          <w:rFonts w:hint="eastAsia"/>
          <w:b/>
          <w:bCs/>
          <w:sz w:val="24"/>
          <w:highlight w:val="none"/>
        </w:rPr>
        <w:t>理财非存款、产品有风险、投资须谨慎，理财计划过往业绩不代表其未来表现，不等于理财计划实际收益。</w:t>
      </w:r>
    </w:p>
    <w:p>
      <w:pPr>
        <w:widowControl/>
        <w:spacing w:line="360" w:lineRule="auto"/>
        <w:ind w:firstLine="480" w:firstLineChars="200"/>
        <w:rPr>
          <w:rFonts w:hint="eastAsia"/>
          <w:sz w:val="24"/>
          <w:highlight w:val="none"/>
        </w:rPr>
      </w:pPr>
      <w:r>
        <w:rPr>
          <w:rFonts w:hint="eastAsia"/>
          <w:sz w:val="24"/>
          <w:highlight w:val="none"/>
        </w:rPr>
        <w:t>理财计划销售的相关法律主体为发行理财计划的理财公司、理财公司自有销售渠道以及接受理财公司委托销售其发行理财计划的代理销售机构（以下简称“销售机构”）和投资者三方。理财公司是理财计划的设计发行方与管理人，理财公司和销售机构面向投资者实施销售行为，两方共同承担理财计划的合规销售和投资者合法权益保护义务。</w:t>
      </w:r>
    </w:p>
    <w:p>
      <w:pPr>
        <w:widowControl/>
        <w:spacing w:line="360" w:lineRule="auto"/>
        <w:ind w:firstLine="480" w:firstLineChars="200"/>
        <w:rPr>
          <w:rFonts w:hint="eastAsia"/>
          <w:sz w:val="24"/>
          <w:highlight w:val="none"/>
        </w:rPr>
      </w:pPr>
      <w:r>
        <w:rPr>
          <w:rFonts w:hint="eastAsia"/>
          <w:sz w:val="24"/>
          <w:highlight w:val="none"/>
        </w:rPr>
        <w:t>投资者与销售机构经平等友好协商，本着自愿、诚实信用原则，就投资者购买销售机构代理销售的理财计划有关事宜达成如下协议（以下简称“本协议”）：</w:t>
      </w:r>
    </w:p>
    <w:p>
      <w:pPr>
        <w:widowControl/>
        <w:spacing w:line="360" w:lineRule="auto"/>
        <w:ind w:firstLine="480" w:firstLineChars="200"/>
        <w:rPr>
          <w:rFonts w:hint="eastAsia"/>
          <w:sz w:val="24"/>
          <w:highlight w:val="none"/>
        </w:rPr>
      </w:pPr>
    </w:p>
    <w:p>
      <w:pPr>
        <w:widowControl/>
        <w:spacing w:line="360" w:lineRule="auto"/>
        <w:ind w:firstLine="482" w:firstLineChars="200"/>
        <w:outlineLvl w:val="1"/>
        <w:rPr>
          <w:rFonts w:hint="eastAsia"/>
          <w:b/>
          <w:bCs/>
          <w:sz w:val="24"/>
          <w:highlight w:val="none"/>
        </w:rPr>
      </w:pPr>
      <w:r>
        <w:rPr>
          <w:rFonts w:hint="eastAsia"/>
          <w:b/>
          <w:bCs/>
          <w:sz w:val="24"/>
          <w:highlight w:val="none"/>
        </w:rPr>
        <w:t>第一条 名词释义</w:t>
      </w:r>
    </w:p>
    <w:p>
      <w:pPr>
        <w:widowControl/>
        <w:spacing w:line="360" w:lineRule="auto"/>
        <w:ind w:firstLine="480" w:firstLineChars="200"/>
        <w:jc w:val="left"/>
        <w:rPr>
          <w:rFonts w:hint="eastAsia"/>
          <w:bCs/>
          <w:sz w:val="24"/>
          <w:highlight w:val="none"/>
        </w:rPr>
      </w:pPr>
      <w:r>
        <w:rPr>
          <w:rFonts w:hint="eastAsia"/>
          <w:bCs/>
          <w:sz w:val="24"/>
          <w:highlight w:val="none"/>
        </w:rPr>
        <w:t>详见对应期次的理财计划产品说明书“释义”部分。</w:t>
      </w:r>
    </w:p>
    <w:p>
      <w:pPr>
        <w:widowControl/>
        <w:spacing w:line="360" w:lineRule="auto"/>
        <w:ind w:firstLine="480" w:firstLineChars="200"/>
        <w:jc w:val="left"/>
        <w:rPr>
          <w:rFonts w:hint="eastAsia"/>
          <w:bCs/>
          <w:sz w:val="24"/>
          <w:highlight w:val="none"/>
        </w:rPr>
      </w:pPr>
    </w:p>
    <w:p>
      <w:pPr>
        <w:widowControl/>
        <w:spacing w:line="360" w:lineRule="auto"/>
        <w:ind w:firstLine="482" w:firstLineChars="200"/>
        <w:jc w:val="left"/>
        <w:outlineLvl w:val="1"/>
        <w:rPr>
          <w:rFonts w:hint="eastAsia"/>
          <w:b/>
          <w:bCs/>
          <w:sz w:val="24"/>
          <w:highlight w:val="none"/>
        </w:rPr>
      </w:pPr>
      <w:r>
        <w:rPr>
          <w:rFonts w:hint="eastAsia"/>
          <w:b/>
          <w:bCs/>
          <w:sz w:val="24"/>
          <w:highlight w:val="none"/>
        </w:rPr>
        <w:t>第二条 投资者权利与义务</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b/>
          <w:bCs/>
          <w:sz w:val="24"/>
          <w:highlight w:val="none"/>
        </w:rPr>
        <w:t>投资者购买销售机构代理销售的私募理财计划后，可以享有24 小时的投资冷静期，在投资冷静期内，如投资者改变投资决定，应提出解除相应理财计划合同文件申请，销售机构将及时退还投资者的全部投资款项。</w:t>
      </w:r>
      <w:r>
        <w:rPr>
          <w:rFonts w:hint="eastAsia" w:ascii="宋体" w:hAnsi="宋体"/>
          <w:sz w:val="24"/>
          <w:highlight w:val="none"/>
        </w:rPr>
        <w:t>投资冷静期相关约定详见理财计划产品说明书。</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b/>
          <w:bCs/>
          <w:sz w:val="24"/>
          <w:highlight w:val="none"/>
        </w:rPr>
        <w:t>投资者在此确认销售机构的系统记录以及录音、录像构成对投资者操作行为（包括但不限于购买、赎回、撤单）的有效证据，并且在双方发生争议时可以作为合法有效的证据使用</w:t>
      </w:r>
      <w:r>
        <w:rPr>
          <w:rFonts w:hint="eastAsia" w:ascii="宋体" w:hAnsi="宋体"/>
          <w:sz w:val="24"/>
          <w:highlight w:val="none"/>
        </w:rPr>
        <w:t>。</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销售机构对此不承担任何责任。 </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在本理财计划存续期内，如有权机关要求销售机构配合对投资者理财份额、理财账户、授权指定账户进行查封、冻结或扣划的，销售机构有权根据实际情况采取相应措施。销售机构对上述后果不承担任何责任。 </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本协议终止前，投资者不得将授权指定账户销户。若发生因投资者注销授权指定账户造成理财计划无法正常兑付的，销售机构不承担任何责任。</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销售机构并办理变更手续。如因投资者未及时通知销售机构并办理相应的变更手续，由此导致的一切后果由投资者自行承担，销售机构对此不承担任何责任。 </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投资者对本协议及其条款负有保密义务，未经销售机构书面许可，不得向任何组织、个人提供或泄露与销售机构有关的业务资料及信息，但法律、法规另有规定的除外。</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widowControl/>
        <w:numPr>
          <w:ilvl w:val="0"/>
          <w:numId w:val="67"/>
        </w:numPr>
        <w:spacing w:line="360" w:lineRule="auto"/>
        <w:contextualSpacing/>
        <w:outlineLvl w:val="2"/>
        <w:rPr>
          <w:rFonts w:hint="eastAsia" w:ascii="宋体" w:hAnsi="宋体"/>
          <w:b/>
          <w:bCs/>
          <w:sz w:val="24"/>
          <w:highlight w:val="none"/>
        </w:rPr>
      </w:pPr>
      <w:r>
        <w:rPr>
          <w:rFonts w:hint="eastAsia" w:ascii="宋体" w:hAnsi="宋体"/>
          <w:b/>
          <w:bCs/>
          <w:sz w:val="24"/>
          <w:highlight w:val="none"/>
        </w:rPr>
        <w:t>投资者个人信息授权</w:t>
      </w:r>
    </w:p>
    <w:p>
      <w:pPr>
        <w:widowControl/>
        <w:spacing w:line="360" w:lineRule="auto"/>
        <w:ind w:firstLine="482" w:firstLineChars="200"/>
        <w:contextualSpacing/>
        <w:rPr>
          <w:rFonts w:hint="eastAsia" w:ascii="宋体" w:hAnsi="宋体"/>
          <w:b/>
          <w:bCs/>
          <w:sz w:val="24"/>
          <w:highlight w:val="none"/>
        </w:rPr>
      </w:pPr>
      <w:r>
        <w:rPr>
          <w:rFonts w:hint="eastAsia" w:ascii="宋体" w:hAnsi="宋体"/>
          <w:b/>
          <w:bCs/>
          <w:sz w:val="24"/>
          <w:highlight w:val="none"/>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7"/>
        </w:numPr>
        <w:spacing w:line="360" w:lineRule="auto"/>
        <w:contextualSpacing/>
        <w:outlineLvl w:val="2"/>
        <w:rPr>
          <w:rFonts w:hint="eastAsia" w:ascii="宋体" w:hAnsi="宋体"/>
          <w:b/>
          <w:bCs/>
          <w:sz w:val="24"/>
          <w:highlight w:val="none"/>
        </w:rPr>
      </w:pPr>
      <w:r>
        <w:rPr>
          <w:rFonts w:hint="eastAsia" w:ascii="宋体" w:hAnsi="宋体"/>
          <w:b/>
          <w:bCs/>
          <w:sz w:val="24"/>
          <w:highlight w:val="none"/>
        </w:rPr>
        <w:t>投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spacing w:line="360" w:lineRule="auto"/>
        <w:ind w:firstLine="482" w:firstLineChars="200"/>
        <w:contextualSpacing/>
        <w:rPr>
          <w:rFonts w:ascii="宋体" w:hAnsi="宋体"/>
          <w:b/>
          <w:bCs/>
          <w:sz w:val="24"/>
          <w:highlight w:val="none"/>
        </w:rPr>
      </w:pPr>
    </w:p>
    <w:p>
      <w:pPr>
        <w:widowControl/>
        <w:spacing w:line="360" w:lineRule="auto"/>
        <w:ind w:firstLine="482" w:firstLineChars="200"/>
        <w:outlineLvl w:val="1"/>
        <w:rPr>
          <w:rFonts w:hint="eastAsia"/>
          <w:b/>
          <w:bCs/>
          <w:sz w:val="24"/>
          <w:highlight w:val="none"/>
        </w:rPr>
      </w:pPr>
      <w:r>
        <w:rPr>
          <w:rFonts w:hint="eastAsia"/>
          <w:b/>
          <w:bCs/>
          <w:sz w:val="24"/>
          <w:highlight w:val="none"/>
        </w:rPr>
        <w:t>第三条 销售机构的权利与义务</w:t>
      </w:r>
    </w:p>
    <w:p>
      <w:pPr>
        <w:widowControl/>
        <w:numPr>
          <w:ilvl w:val="0"/>
          <w:numId w:val="68"/>
        </w:numPr>
        <w:spacing w:line="360" w:lineRule="auto"/>
        <w:contextualSpacing/>
        <w:jc w:val="left"/>
        <w:outlineLvl w:val="2"/>
        <w:rPr>
          <w:rFonts w:hint="eastAsia" w:ascii="宋体" w:hAnsi="宋体"/>
          <w:sz w:val="24"/>
          <w:highlight w:val="none"/>
        </w:rPr>
      </w:pPr>
      <w:r>
        <w:rPr>
          <w:rFonts w:hint="eastAsia" w:ascii="宋体" w:hAnsi="宋体"/>
          <w:sz w:val="24"/>
          <w:highlight w:val="none"/>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widowControl/>
        <w:numPr>
          <w:ilvl w:val="0"/>
          <w:numId w:val="68"/>
        </w:numPr>
        <w:spacing w:line="360" w:lineRule="auto"/>
        <w:contextualSpacing/>
        <w:jc w:val="left"/>
        <w:outlineLvl w:val="2"/>
        <w:rPr>
          <w:rFonts w:hint="eastAsia" w:ascii="宋体" w:hAnsi="宋体"/>
          <w:sz w:val="24"/>
          <w:highlight w:val="none"/>
        </w:rPr>
      </w:pPr>
      <w:r>
        <w:rPr>
          <w:rFonts w:hint="eastAsia" w:ascii="宋体" w:hAnsi="宋体"/>
          <w:b/>
          <w:bCs/>
          <w:sz w:val="24"/>
          <w:highlight w:val="none"/>
        </w:rPr>
        <w:t>代理销售机构非本计划的发行、管理机构，对本计划的业绩不承担任何保证和其他经济责任，不承担本计划的投资、兑付和风险管理责任</w:t>
      </w:r>
      <w:r>
        <w:rPr>
          <w:rFonts w:hint="eastAsia" w:ascii="宋体" w:hAnsi="宋体"/>
          <w:sz w:val="24"/>
          <w:highlight w:val="none"/>
        </w:rPr>
        <w:t>。</w:t>
      </w:r>
    </w:p>
    <w:p>
      <w:pPr>
        <w:widowControl/>
        <w:numPr>
          <w:ilvl w:val="0"/>
          <w:numId w:val="68"/>
        </w:numPr>
        <w:spacing w:line="360" w:lineRule="auto"/>
        <w:contextualSpacing/>
        <w:outlineLvl w:val="2"/>
        <w:rPr>
          <w:rFonts w:hint="eastAsia" w:ascii="宋体" w:hAnsi="宋体"/>
          <w:sz w:val="24"/>
          <w:highlight w:val="none"/>
        </w:rPr>
      </w:pPr>
      <w:r>
        <w:rPr>
          <w:rFonts w:hint="eastAsia" w:ascii="宋体" w:hAnsi="宋体"/>
          <w:sz w:val="24"/>
          <w:highlight w:val="none"/>
        </w:rPr>
        <w:t>销售机构应定期对购买其代理销售的理财计划的非机构投资者进行有效风险承受能力评估，并保证向投资者推介及销售与其风险承受能力匹配的产品。</w:t>
      </w:r>
    </w:p>
    <w:p>
      <w:pPr>
        <w:widowControl/>
        <w:numPr>
          <w:ilvl w:val="0"/>
          <w:numId w:val="68"/>
        </w:numPr>
        <w:spacing w:line="360" w:lineRule="auto"/>
        <w:contextualSpacing/>
        <w:jc w:val="left"/>
        <w:outlineLvl w:val="2"/>
        <w:rPr>
          <w:rFonts w:hint="eastAsia" w:ascii="宋体" w:hAnsi="宋体"/>
          <w:sz w:val="24"/>
          <w:highlight w:val="none"/>
        </w:rPr>
      </w:pPr>
      <w:r>
        <w:rPr>
          <w:rFonts w:hint="eastAsia" w:ascii="宋体" w:hAnsi="宋体"/>
          <w:sz w:val="24"/>
          <w:highlight w:val="none"/>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numPr>
          <w:ilvl w:val="0"/>
          <w:numId w:val="68"/>
        </w:numPr>
        <w:spacing w:line="360" w:lineRule="auto"/>
        <w:contextualSpacing/>
        <w:outlineLvl w:val="2"/>
        <w:rPr>
          <w:rFonts w:hint="eastAsia" w:ascii="宋体" w:hAnsi="宋体"/>
          <w:sz w:val="24"/>
          <w:highlight w:val="none"/>
        </w:rPr>
      </w:pPr>
      <w:r>
        <w:rPr>
          <w:rFonts w:hint="eastAsia" w:ascii="宋体" w:hAnsi="宋体"/>
          <w:sz w:val="24"/>
          <w:highlight w:val="none"/>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numPr>
          <w:ilvl w:val="0"/>
          <w:numId w:val="68"/>
        </w:numPr>
        <w:spacing w:line="360" w:lineRule="auto"/>
        <w:contextualSpacing/>
        <w:jc w:val="left"/>
        <w:outlineLvl w:val="2"/>
        <w:rPr>
          <w:rFonts w:hint="eastAsia" w:ascii="宋体" w:hAnsi="宋体"/>
          <w:sz w:val="24"/>
          <w:highlight w:val="none"/>
        </w:rPr>
      </w:pPr>
      <w:r>
        <w:rPr>
          <w:rFonts w:hint="eastAsia" w:ascii="宋体" w:hAnsi="宋体"/>
          <w:sz w:val="24"/>
          <w:highlight w:val="none"/>
        </w:rPr>
        <w:t>销售机构应建立健全上岗资格、持续培训、信息公示与查询核实等制度并有效执行。未经销售机构进行上岗资格认定并签订劳动合同，任何人员不得从事理财计划销售业务活动。</w:t>
      </w:r>
    </w:p>
    <w:p>
      <w:pPr>
        <w:widowControl/>
        <w:numPr>
          <w:ilvl w:val="0"/>
          <w:numId w:val="68"/>
        </w:numPr>
        <w:spacing w:line="360" w:lineRule="auto"/>
        <w:contextualSpacing/>
        <w:jc w:val="left"/>
        <w:outlineLvl w:val="2"/>
        <w:rPr>
          <w:rFonts w:hint="eastAsia" w:ascii="宋体" w:hAnsi="宋体"/>
          <w:sz w:val="24"/>
          <w:highlight w:val="none"/>
        </w:rPr>
      </w:pPr>
      <w:r>
        <w:rPr>
          <w:rFonts w:hint="eastAsia" w:ascii="宋体" w:hAnsi="宋体"/>
          <w:sz w:val="24"/>
          <w:highlight w:val="none"/>
        </w:rPr>
        <w:t>销售机构应对所有销售人员信息进行登记和公示。销售人员在向投资者宣传销售理财计划前进行自我介绍并告知信息查询和核实渠道，便于投资者查询核实，防止伪冒身份和虚假宣传。</w:t>
      </w:r>
    </w:p>
    <w:p>
      <w:pPr>
        <w:widowControl/>
        <w:numPr>
          <w:ilvl w:val="0"/>
          <w:numId w:val="68"/>
        </w:numPr>
        <w:spacing w:line="360" w:lineRule="auto"/>
        <w:contextualSpacing/>
        <w:jc w:val="left"/>
        <w:outlineLvl w:val="2"/>
        <w:rPr>
          <w:rFonts w:hint="eastAsia" w:ascii="宋体" w:hAnsi="宋体"/>
          <w:sz w:val="24"/>
          <w:highlight w:val="none"/>
        </w:rPr>
      </w:pPr>
      <w:r>
        <w:rPr>
          <w:rFonts w:hint="eastAsia" w:ascii="宋体" w:hAnsi="宋体"/>
          <w:sz w:val="24"/>
          <w:highlight w:val="none"/>
        </w:rPr>
        <w:t>销售机构对投资者负有信息保密义务，未经投资者书面许可，乙方不得向任何组织、个人提供或泄露与甲方有关的业务资料及信息，但法律、法规另有规定的除外。</w:t>
      </w:r>
    </w:p>
    <w:p>
      <w:pPr>
        <w:widowControl/>
        <w:numPr>
          <w:ilvl w:val="0"/>
          <w:numId w:val="68"/>
        </w:numPr>
        <w:spacing w:line="360" w:lineRule="auto"/>
        <w:contextualSpacing/>
        <w:jc w:val="left"/>
        <w:outlineLvl w:val="2"/>
        <w:rPr>
          <w:rFonts w:hint="eastAsia" w:ascii="宋体" w:hAnsi="宋体"/>
          <w:sz w:val="24"/>
          <w:highlight w:val="none"/>
        </w:rPr>
      </w:pPr>
      <w:r>
        <w:rPr>
          <w:rFonts w:hint="eastAsia" w:ascii="宋体" w:hAnsi="宋体"/>
          <w:sz w:val="24"/>
          <w:highlight w:val="none"/>
        </w:rPr>
        <w:t>销售机构应按照法律法规、监管规定、理财计划合同的约定收取销售费用，并如实核算、记账。未经载明，不得对不同投资者适用不同费率。</w:t>
      </w:r>
    </w:p>
    <w:p>
      <w:pPr>
        <w:widowControl/>
        <w:numPr>
          <w:ilvl w:val="0"/>
          <w:numId w:val="62"/>
        </w:numPr>
        <w:spacing w:line="360" w:lineRule="auto"/>
        <w:contextualSpacing/>
        <w:jc w:val="left"/>
        <w:outlineLvl w:val="2"/>
        <w:rPr>
          <w:rFonts w:hint="eastAsia" w:ascii="宋体" w:hAnsi="宋体"/>
          <w:sz w:val="24"/>
          <w:highlight w:val="none"/>
        </w:rPr>
      </w:pPr>
      <w:r>
        <w:rPr>
          <w:rFonts w:hint="eastAsia" w:ascii="宋体" w:hAnsi="宋体"/>
          <w:sz w:val="24"/>
          <w:highlight w:val="none"/>
        </w:rPr>
        <w:t>理财计划销售结算资金属于理财计划投资者，销售机构不得挪用理财计划销售结算资金或将理财计划销售结算资金归入自有资产。</w:t>
      </w:r>
    </w:p>
    <w:p>
      <w:pPr>
        <w:widowControl/>
        <w:numPr>
          <w:ilvl w:val="0"/>
          <w:numId w:val="62"/>
        </w:numPr>
        <w:spacing w:line="360" w:lineRule="auto"/>
        <w:contextualSpacing/>
        <w:jc w:val="left"/>
        <w:outlineLvl w:val="2"/>
        <w:rPr>
          <w:rFonts w:hint="eastAsia" w:ascii="宋体" w:hAnsi="宋体"/>
          <w:sz w:val="24"/>
          <w:highlight w:val="none"/>
        </w:rPr>
      </w:pPr>
      <w:r>
        <w:rPr>
          <w:rFonts w:hint="eastAsia" w:ascii="宋体" w:hAnsi="宋体"/>
          <w:sz w:val="24"/>
          <w:highlight w:val="none"/>
        </w:rPr>
        <w:t>销售机构应遵守相关法律、法规、监管规定及理财计划合同约定，诚实守信、勤勉尽责，向购买理财计划的投资者充分传递管理人披露的产品相关信息并进行充分的风险揭示。</w:t>
      </w:r>
    </w:p>
    <w:p>
      <w:pPr>
        <w:widowControl/>
        <w:numPr>
          <w:ilvl w:val="0"/>
          <w:numId w:val="62"/>
        </w:numPr>
        <w:spacing w:line="360" w:lineRule="auto"/>
        <w:contextualSpacing/>
        <w:jc w:val="left"/>
        <w:outlineLvl w:val="2"/>
        <w:rPr>
          <w:rFonts w:hint="eastAsia" w:ascii="宋体" w:hAnsi="宋体"/>
          <w:sz w:val="24"/>
          <w:highlight w:val="none"/>
        </w:rPr>
      </w:pPr>
      <w:r>
        <w:rPr>
          <w:rFonts w:hint="eastAsia" w:ascii="宋体" w:hAnsi="宋体"/>
          <w:sz w:val="24"/>
          <w:highlight w:val="none"/>
        </w:rPr>
        <w:t>销售机构应当充分利用科技手段，加强对伪冒网站、伪冒产品等监测，有效防范各类欺诈风险。</w:t>
      </w:r>
    </w:p>
    <w:p>
      <w:pPr>
        <w:widowControl/>
        <w:spacing w:line="360" w:lineRule="auto"/>
        <w:ind w:left="482"/>
        <w:contextualSpacing/>
        <w:jc w:val="left"/>
        <w:rPr>
          <w:rFonts w:hint="eastAsia" w:ascii="宋体" w:hAnsi="宋体"/>
          <w:b/>
          <w:bCs/>
          <w:sz w:val="24"/>
          <w:highlight w:val="none"/>
        </w:rPr>
      </w:pPr>
    </w:p>
    <w:p>
      <w:pPr>
        <w:widowControl/>
        <w:spacing w:line="360" w:lineRule="auto"/>
        <w:ind w:firstLine="482" w:firstLineChars="200"/>
        <w:outlineLvl w:val="1"/>
        <w:rPr>
          <w:rFonts w:hint="eastAsia" w:eastAsia="宋体" w:cs="黑体"/>
          <w:b/>
          <w:bCs/>
          <w:sz w:val="24"/>
          <w:highlight w:val="none"/>
        </w:rPr>
      </w:pPr>
      <w:r>
        <w:rPr>
          <w:rFonts w:hint="eastAsia" w:eastAsia="宋体" w:cs="黑体"/>
          <w:b/>
          <w:bCs/>
          <w:sz w:val="24"/>
          <w:highlight w:val="none"/>
        </w:rPr>
        <w:t>第四条 理财计划认（申）购、赎回及终止</w:t>
      </w:r>
    </w:p>
    <w:p>
      <w:pPr>
        <w:widowControl/>
        <w:numPr>
          <w:ilvl w:val="0"/>
          <w:numId w:val="69"/>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9"/>
        </w:numPr>
        <w:spacing w:line="360" w:lineRule="auto"/>
        <w:contextualSpacing/>
        <w:outlineLvl w:val="2"/>
        <w:rPr>
          <w:rFonts w:hint="eastAsia" w:ascii="宋体" w:hAnsi="宋体"/>
          <w:sz w:val="24"/>
          <w:highlight w:val="none"/>
        </w:rPr>
      </w:pPr>
      <w:r>
        <w:rPr>
          <w:rFonts w:hint="eastAsia" w:ascii="宋体" w:hAnsi="宋体"/>
          <w:sz w:val="24"/>
          <w:highlight w:val="none"/>
        </w:rPr>
        <w:t>理财计划认/申购确认：管理人根据销售渠道提供的交易信息及资金划付对投资者相应认/申购进行确认。</w:t>
      </w:r>
    </w:p>
    <w:p>
      <w:pPr>
        <w:widowControl/>
        <w:numPr>
          <w:ilvl w:val="0"/>
          <w:numId w:val="69"/>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销售机构将按对应期次的理财计划产品说明书约定条款向投资者进行公告，并将及时解除对投资者授权指定账户中认购资金的冻结。 </w:t>
      </w:r>
    </w:p>
    <w:p>
      <w:pPr>
        <w:widowControl/>
        <w:numPr>
          <w:ilvl w:val="0"/>
          <w:numId w:val="69"/>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9"/>
        </w:numPr>
        <w:spacing w:line="360" w:lineRule="auto"/>
        <w:contextualSpacing/>
        <w:outlineLvl w:val="2"/>
        <w:rPr>
          <w:rFonts w:hint="eastAsia" w:ascii="宋体" w:hAnsi="宋体"/>
          <w:sz w:val="24"/>
          <w:highlight w:val="none"/>
        </w:rPr>
      </w:pPr>
      <w:r>
        <w:rPr>
          <w:rFonts w:hint="eastAsia" w:ascii="宋体" w:hAnsi="宋体"/>
          <w:sz w:val="24"/>
          <w:highlight w:val="none"/>
        </w:rPr>
        <w:t>理财计划赎回/终止兑付：在正常情况下，管理人和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销售机构将于原约定清算日前通过信息披露途径及时通知，并根据实际情况进行后续处理。</w:t>
      </w:r>
    </w:p>
    <w:p>
      <w:pPr>
        <w:widowControl/>
        <w:numPr>
          <w:ilvl w:val="0"/>
          <w:numId w:val="69"/>
        </w:numPr>
        <w:spacing w:line="360" w:lineRule="auto"/>
        <w:contextualSpacing/>
        <w:outlineLvl w:val="2"/>
        <w:rPr>
          <w:rFonts w:hint="eastAsia" w:ascii="宋体" w:hAnsi="宋体"/>
          <w:sz w:val="24"/>
          <w:highlight w:val="none"/>
        </w:rPr>
      </w:pPr>
      <w:r>
        <w:rPr>
          <w:rFonts w:hint="eastAsia" w:ascii="宋体" w:hAnsi="宋体"/>
          <w:sz w:val="24"/>
          <w:highlight w:val="none"/>
        </w:rPr>
        <w:t>资金清算：理财计划终止或份额赎回时，管理人按理财计划合同约定划付至销售机构清算账户后，由销售机构向投资者划付投资者应得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widowControl/>
        <w:spacing w:line="360" w:lineRule="auto"/>
        <w:ind w:left="178" w:leftChars="85"/>
        <w:contextualSpacing/>
        <w:rPr>
          <w:rFonts w:hint="eastAsia" w:ascii="宋体" w:hAnsi="宋体"/>
          <w:b/>
          <w:bCs/>
          <w:sz w:val="24"/>
          <w:highlight w:val="none"/>
        </w:rPr>
      </w:pPr>
    </w:p>
    <w:p>
      <w:pPr>
        <w:widowControl/>
        <w:spacing w:line="360" w:lineRule="auto"/>
        <w:ind w:firstLine="482" w:firstLineChars="200"/>
        <w:outlineLvl w:val="1"/>
        <w:rPr>
          <w:rFonts w:hint="eastAsia"/>
          <w:b/>
          <w:bCs/>
          <w:sz w:val="24"/>
          <w:highlight w:val="none"/>
        </w:rPr>
      </w:pPr>
      <w:r>
        <w:rPr>
          <w:rFonts w:hint="eastAsia"/>
          <w:b/>
          <w:bCs/>
          <w:sz w:val="24"/>
          <w:highlight w:val="none"/>
        </w:rPr>
        <w:t>第五条 违约责任及免责条款</w:t>
      </w:r>
    </w:p>
    <w:p>
      <w:pPr>
        <w:widowControl/>
        <w:numPr>
          <w:ilvl w:val="0"/>
          <w:numId w:val="70"/>
        </w:numPr>
        <w:spacing w:line="360" w:lineRule="auto"/>
        <w:contextualSpacing/>
        <w:outlineLvl w:val="2"/>
        <w:rPr>
          <w:rFonts w:hint="eastAsia" w:ascii="宋体" w:hAnsi="宋体"/>
          <w:sz w:val="24"/>
          <w:highlight w:val="none"/>
        </w:rPr>
      </w:pPr>
      <w:r>
        <w:rPr>
          <w:rFonts w:hint="eastAsia" w:ascii="宋体" w:hAnsi="宋体"/>
          <w:sz w:val="24"/>
          <w:highlight w:val="none"/>
        </w:rPr>
        <w:t>若因投资者原因导致司法或行政等有权机关采取强制措施对其理财本金、收益进行部分或全部被扣划，均视投资者本人就全部理财本金进行了提前赎回，本协议自动终止。因提前终止而产生的损失及相关费用由投资者承担。本协议因前述情况终止的，理财本金不计付赎回日前的理财收益，也不计付存款利息。</w:t>
      </w:r>
    </w:p>
    <w:p>
      <w:pPr>
        <w:widowControl/>
        <w:numPr>
          <w:ilvl w:val="0"/>
          <w:numId w:val="70"/>
        </w:numPr>
        <w:spacing w:line="360" w:lineRule="auto"/>
        <w:contextualSpacing/>
        <w:outlineLvl w:val="2"/>
        <w:rPr>
          <w:rFonts w:hint="eastAsia" w:ascii="宋体" w:hAnsi="宋体"/>
          <w:sz w:val="24"/>
          <w:highlight w:val="none"/>
        </w:rPr>
      </w:pPr>
      <w:r>
        <w:rPr>
          <w:rFonts w:hint="eastAsia" w:ascii="宋体" w:hAnsi="宋体"/>
          <w:sz w:val="24"/>
          <w:highlight w:val="none"/>
        </w:rPr>
        <w:t>投资者违反本协议第二条内容，应承担相应违约责任。销售机构对由此导致的理财业务交易延误、中断、终止及投资者损失不承担任何责任，并有权单方终止双方理财业务关系。因投资者违反双方约定给销售机构或全体投资者造成损失的，投资者应承担相应的赔偿责任。</w:t>
      </w:r>
    </w:p>
    <w:p>
      <w:pPr>
        <w:widowControl/>
        <w:numPr>
          <w:ilvl w:val="0"/>
          <w:numId w:val="70"/>
        </w:numPr>
        <w:spacing w:line="360" w:lineRule="auto"/>
        <w:contextualSpacing/>
        <w:outlineLvl w:val="2"/>
        <w:rPr>
          <w:rFonts w:hint="eastAsia" w:ascii="宋体" w:hAnsi="宋体"/>
          <w:sz w:val="24"/>
          <w:highlight w:val="none"/>
        </w:rPr>
      </w:pPr>
      <w:r>
        <w:rPr>
          <w:rFonts w:hint="eastAsia" w:ascii="宋体" w:hAnsi="宋体"/>
          <w:sz w:val="24"/>
          <w:highlight w:val="none"/>
        </w:rPr>
        <w:t>若由于销售机构过错导致理财计划资产发生损失，销售机构应按其过错承担赔偿责任，销售机构赔偿的款项计入理财计划的资产和收益。</w:t>
      </w:r>
    </w:p>
    <w:p>
      <w:pPr>
        <w:widowControl/>
        <w:numPr>
          <w:ilvl w:val="0"/>
          <w:numId w:val="70"/>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销售机构不承担责任；但销售机构应在上述情况发生后在条件允许时及时通知投资者并采取一切必要且可能的措施阻止损失扩大。</w:t>
      </w:r>
    </w:p>
    <w:p>
      <w:pPr>
        <w:widowControl/>
        <w:numPr>
          <w:ilvl w:val="0"/>
          <w:numId w:val="70"/>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因国家有关法律、法规、规章、政策的修改或新的法律、法规、规章、政策颁布以及紧急措施的出台导致的风险及损失，销售机构不承担责任。</w:t>
      </w:r>
    </w:p>
    <w:p>
      <w:pPr>
        <w:widowControl/>
        <w:spacing w:line="360" w:lineRule="auto"/>
        <w:contextualSpacing/>
        <w:rPr>
          <w:rFonts w:hint="eastAsia" w:ascii="宋体" w:hAnsi="宋体"/>
          <w:b/>
          <w:bCs/>
          <w:sz w:val="24"/>
          <w:highlight w:val="none"/>
        </w:rPr>
      </w:pPr>
    </w:p>
    <w:p>
      <w:pPr>
        <w:widowControl/>
        <w:spacing w:line="360" w:lineRule="auto"/>
        <w:ind w:firstLine="482" w:firstLineChars="200"/>
        <w:outlineLvl w:val="1"/>
        <w:rPr>
          <w:rFonts w:hint="eastAsia"/>
          <w:b/>
          <w:bCs/>
          <w:sz w:val="24"/>
          <w:highlight w:val="none"/>
        </w:rPr>
      </w:pPr>
      <w:r>
        <w:rPr>
          <w:rFonts w:hint="eastAsia"/>
          <w:b/>
          <w:bCs/>
          <w:sz w:val="24"/>
          <w:highlight w:val="none"/>
        </w:rPr>
        <w:t>第六条 适用法律与争议解决</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widowControl/>
        <w:spacing w:line="360" w:lineRule="auto"/>
        <w:ind w:firstLine="482" w:firstLineChars="200"/>
        <w:contextualSpacing/>
        <w:rPr>
          <w:rFonts w:hint="eastAsia" w:ascii="宋体" w:hAnsi="宋体"/>
          <w:b/>
          <w:bCs/>
          <w:sz w:val="24"/>
          <w:highlight w:val="none"/>
        </w:rPr>
      </w:pPr>
    </w:p>
    <w:p>
      <w:pPr>
        <w:widowControl/>
        <w:spacing w:line="360" w:lineRule="auto"/>
        <w:ind w:firstLine="482" w:firstLineChars="200"/>
        <w:outlineLvl w:val="1"/>
        <w:rPr>
          <w:rFonts w:hint="eastAsia"/>
          <w:b/>
          <w:bCs/>
          <w:sz w:val="24"/>
          <w:highlight w:val="none"/>
        </w:rPr>
      </w:pPr>
      <w:r>
        <w:rPr>
          <w:rFonts w:hint="eastAsia"/>
          <w:b/>
          <w:bCs/>
          <w:sz w:val="24"/>
          <w:highlight w:val="none"/>
        </w:rPr>
        <w:t>第七条 协议生效和终止</w:t>
      </w:r>
    </w:p>
    <w:p>
      <w:pPr>
        <w:widowControl/>
        <w:numPr>
          <w:ilvl w:val="0"/>
          <w:numId w:val="71"/>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投资者和销售机构双方认可本协议可以纸质或电子数据等形式提交、订立或确认。 </w:t>
      </w:r>
    </w:p>
    <w:p>
      <w:pPr>
        <w:widowControl/>
        <w:numPr>
          <w:ilvl w:val="0"/>
          <w:numId w:val="72"/>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署（如投资者为个人，应签字；如投资者为机构，应法定代表人或授权代理人签字或盖章并加盖公章或有效授权印章）和销售机构签章之后立即生效。协议一式叁份，投资者、管理人和销售机构各执壹份，具有同等法律效力</w:t>
      </w:r>
      <w:r>
        <w:rPr>
          <w:rFonts w:hint="eastAsia" w:ascii="宋体" w:hAnsi="宋体"/>
          <w:sz w:val="24"/>
          <w:highlight w:val="none"/>
          <w:lang w:eastAsia="zh-CN"/>
        </w:rPr>
        <w:t>。</w:t>
      </w:r>
      <w:r>
        <w:rPr>
          <w:rFonts w:hint="eastAsia" w:ascii="宋体" w:hAnsi="宋体"/>
          <w:sz w:val="24"/>
          <w:highlight w:val="none"/>
        </w:rPr>
        <w:t xml:space="preserve"> </w:t>
      </w:r>
    </w:p>
    <w:p>
      <w:pPr>
        <w:widowControl/>
        <w:numPr>
          <w:ilvl w:val="0"/>
          <w:numId w:val="72"/>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2"/>
        </w:numPr>
        <w:spacing w:line="360" w:lineRule="auto"/>
        <w:contextualSpacing/>
        <w:outlineLvl w:val="2"/>
        <w:rPr>
          <w:rFonts w:hint="eastAsia" w:ascii="宋体" w:hAnsi="宋体"/>
          <w:sz w:val="24"/>
          <w:highlight w:val="none"/>
        </w:rPr>
      </w:pPr>
      <w:r>
        <w:rPr>
          <w:rFonts w:hint="eastAsia" w:ascii="宋体" w:hAnsi="宋体"/>
          <w:sz w:val="24"/>
          <w:highlight w:val="none"/>
        </w:rPr>
        <w:t>投资者和销售机构双方在本协议及对应期次的理财计划产品说明书项下权利义务履行完毕之日，本协议自动终止。</w:t>
      </w:r>
    </w:p>
    <w:p>
      <w:pPr>
        <w:widowControl/>
        <w:spacing w:line="360" w:lineRule="auto"/>
        <w:ind w:left="420"/>
        <w:contextualSpacing/>
        <w:rPr>
          <w:rFonts w:hint="eastAsia" w:ascii="宋体" w:hAnsi="宋体"/>
          <w:sz w:val="24"/>
          <w:highlight w:val="none"/>
        </w:rPr>
      </w:pPr>
    </w:p>
    <w:p>
      <w:pPr>
        <w:widowControl/>
        <w:spacing w:line="360" w:lineRule="auto"/>
        <w:ind w:firstLine="482" w:firstLineChars="200"/>
        <w:outlineLvl w:val="1"/>
        <w:rPr>
          <w:rFonts w:hint="eastAsia"/>
          <w:b/>
          <w:sz w:val="24"/>
          <w:highlight w:val="none"/>
        </w:rPr>
      </w:pPr>
      <w:r>
        <w:rPr>
          <w:rFonts w:hint="eastAsia"/>
          <w:b/>
          <w:sz w:val="24"/>
          <w:highlight w:val="none"/>
        </w:rPr>
        <w:t xml:space="preserve">第八条 附则 </w:t>
      </w:r>
    </w:p>
    <w:p>
      <w:pPr>
        <w:widowControl/>
        <w:numPr>
          <w:ilvl w:val="0"/>
          <w:numId w:val="73"/>
        </w:numPr>
        <w:spacing w:line="360" w:lineRule="auto"/>
        <w:contextualSpacing/>
        <w:outlineLvl w:val="2"/>
        <w:rPr>
          <w:rFonts w:hint="eastAsia" w:ascii="宋体" w:hAnsi="宋体"/>
          <w:sz w:val="24"/>
          <w:highlight w:val="none"/>
        </w:rPr>
      </w:pPr>
      <w:r>
        <w:rPr>
          <w:rFonts w:hint="eastAsia" w:ascii="宋体" w:hAnsi="宋体"/>
          <w:sz w:val="24"/>
          <w:highlight w:val="none"/>
        </w:rPr>
        <w:t>如果投资者与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numPr>
          <w:ilvl w:val="0"/>
          <w:numId w:val="73"/>
        </w:numPr>
        <w:spacing w:line="360" w:lineRule="auto"/>
        <w:contextualSpacing/>
        <w:outlineLvl w:val="2"/>
        <w:rPr>
          <w:rFonts w:hint="eastAsia"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3"/>
        </w:numPr>
        <w:spacing w:line="360" w:lineRule="auto"/>
        <w:contextualSpacing/>
        <w:outlineLvl w:val="2"/>
        <w:rPr>
          <w:rFonts w:hint="eastAsia"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w:t>
      </w:r>
      <w:r>
        <w:rPr>
          <w:rFonts w:ascii="宋体" w:hAnsi="宋体"/>
          <w:sz w:val="24"/>
          <w:highlight w:val="none"/>
        </w:rPr>
        <w:t>合同</w:t>
      </w:r>
      <w:r>
        <w:rPr>
          <w:rFonts w:hint="eastAsia" w:ascii="宋体" w:hAnsi="宋体"/>
          <w:sz w:val="24"/>
          <w:highlight w:val="none"/>
        </w:rPr>
        <w:t>销售文件进行修订。</w:t>
      </w:r>
    </w:p>
    <w:p>
      <w:pPr>
        <w:widowControl/>
        <w:spacing w:line="360" w:lineRule="auto"/>
        <w:contextualSpacing/>
        <w:rPr>
          <w:rFonts w:hint="eastAsia" w:ascii="宋体" w:hAnsi="宋体"/>
          <w:sz w:val="24"/>
          <w:highlight w:val="none"/>
        </w:rPr>
      </w:pPr>
    </w:p>
    <w:p>
      <w:pPr>
        <w:widowControl/>
        <w:spacing w:line="360" w:lineRule="auto"/>
        <w:jc w:val="right"/>
        <w:rPr>
          <w:highlight w:val="none"/>
        </w:rPr>
      </w:pPr>
      <w:r>
        <w:rPr>
          <w:rFonts w:hint="eastAsia" w:ascii="宋体" w:hAnsi="宋体" w:cs="宋体"/>
          <w:kern w:val="0"/>
          <w:sz w:val="24"/>
          <w:highlight w:val="none"/>
        </w:rPr>
        <w:t>杭银理财有限责任公司</w:t>
      </w:r>
    </w:p>
    <w:p>
      <w:pPr>
        <w:spacing w:line="360" w:lineRule="auto"/>
        <w:rPr>
          <w:rFonts w:hint="eastAsia" w:ascii="宋体" w:hAnsi="宋体"/>
          <w:sz w:val="24"/>
          <w:highlight w:val="none"/>
        </w:rPr>
      </w:pPr>
      <w:r>
        <w:rPr>
          <w:rFonts w:hint="eastAsia" w:ascii="宋体" w:hAnsi="宋体"/>
          <w:sz w:val="24"/>
          <w:highlight w:val="none"/>
        </w:rPr>
        <w:br w:type="page"/>
      </w:r>
    </w:p>
    <w:p>
      <w:pPr>
        <w:spacing w:line="360" w:lineRule="auto"/>
        <w:rPr>
          <w:rFonts w:ascii="宋体" w:hAnsi="宋体"/>
          <w:sz w:val="24"/>
          <w:highlight w:val="none"/>
        </w:rPr>
      </w:pPr>
      <w:r>
        <w:rPr>
          <w:rFonts w:hint="eastAsia" w:ascii="宋体" w:hAnsi="宋体"/>
          <w:sz w:val="24"/>
          <w:highlight w:val="none"/>
        </w:rPr>
        <w:t>本页为纸质形式（如有）销售协议书签章页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投资者（签字或签章）：</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销售机构签章：</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w:t>
    </w:r>
    <w:r>
      <w:rPr>
        <w:rFonts w:hint="eastAsia"/>
        <w:b/>
        <w:bCs/>
        <w:lang w:val="en-US" w:eastAsia="zh-CN"/>
      </w:rPr>
      <w:t>须</w:t>
    </w:r>
    <w:r>
      <w:rPr>
        <w:rFonts w:hint="eastAsia"/>
        <w:b/>
        <w:bCs/>
      </w:rPr>
      <w:t>谨慎</w:t>
    </w:r>
    <w:r>
      <w:rPr>
        <w:b/>
        <w:bCs/>
      </w:rPr>
      <w:drawing>
        <wp:anchor distT="0" distB="0" distL="114300" distR="114300" simplePos="0" relativeHeight="251659264"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9">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0">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1">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2">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3">
    <w:nsid w:val="D8D75090"/>
    <w:multiLevelType w:val="singleLevel"/>
    <w:tmpl w:val="D8D75090"/>
    <w:lvl w:ilvl="0" w:tentative="0">
      <w:start w:val="1"/>
      <w:numFmt w:val="decimal"/>
      <w:suff w:val="nothing"/>
      <w:lvlText w:val="（%1）"/>
      <w:lvlJc w:val="left"/>
      <w:rPr>
        <w:rFonts w:hint="default"/>
        <w:b w:val="0"/>
        <w:bCs w:val="0"/>
      </w:rPr>
    </w:lvl>
  </w:abstractNum>
  <w:abstractNum w:abstractNumId="24">
    <w:nsid w:val="DD2251DF"/>
    <w:multiLevelType w:val="singleLevel"/>
    <w:tmpl w:val="DD2251DF"/>
    <w:lvl w:ilvl="0" w:tentative="0">
      <w:start w:val="1"/>
      <w:numFmt w:val="decimal"/>
      <w:suff w:val="nothing"/>
      <w:lvlText w:val="（%1）"/>
      <w:lvlJc w:val="left"/>
      <w:rPr>
        <w:rFonts w:hint="default"/>
        <w:b w:val="0"/>
        <w:bCs w:val="0"/>
      </w:rPr>
    </w:lvl>
  </w:abstractNum>
  <w:abstractNum w:abstractNumId="25">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6">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7">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7">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8">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49">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0">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1">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2">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3">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4">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5">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6">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7">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8">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59">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0">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1">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2">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3">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4">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5">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6">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7">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8">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69">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0">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1">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2">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2"/>
  </w:num>
  <w:num w:numId="4">
    <w:abstractNumId w:val="37"/>
  </w:num>
  <w:num w:numId="5">
    <w:abstractNumId w:val="20"/>
  </w:num>
  <w:num w:numId="6">
    <w:abstractNumId w:val="71"/>
  </w:num>
  <w:num w:numId="7">
    <w:abstractNumId w:val="31"/>
  </w:num>
  <w:num w:numId="8">
    <w:abstractNumId w:val="72"/>
  </w:num>
  <w:num w:numId="9">
    <w:abstractNumId w:val="47"/>
  </w:num>
  <w:num w:numId="10">
    <w:abstractNumId w:val="44"/>
  </w:num>
  <w:num w:numId="11">
    <w:abstractNumId w:val="29"/>
  </w:num>
  <w:num w:numId="12">
    <w:abstractNumId w:val="27"/>
  </w:num>
  <w:num w:numId="13">
    <w:abstractNumId w:val="33"/>
  </w:num>
  <w:num w:numId="14">
    <w:abstractNumId w:val="26"/>
  </w:num>
  <w:num w:numId="15">
    <w:abstractNumId w:val="21"/>
  </w:num>
  <w:num w:numId="16">
    <w:abstractNumId w:val="11"/>
  </w:num>
  <w:num w:numId="17">
    <w:abstractNumId w:val="8"/>
  </w:num>
  <w:num w:numId="18">
    <w:abstractNumId w:val="9"/>
  </w:num>
  <w:num w:numId="19">
    <w:abstractNumId w:val="7"/>
  </w:num>
  <w:num w:numId="20">
    <w:abstractNumId w:val="32"/>
  </w:num>
  <w:num w:numId="21">
    <w:abstractNumId w:val="5"/>
  </w:num>
  <w:num w:numId="22">
    <w:abstractNumId w:val="1"/>
  </w:num>
  <w:num w:numId="23">
    <w:abstractNumId w:val="43"/>
  </w:num>
  <w:num w:numId="24">
    <w:abstractNumId w:val="28"/>
  </w:num>
  <w:num w:numId="25">
    <w:abstractNumId w:val="19"/>
  </w:num>
  <w:num w:numId="26">
    <w:abstractNumId w:val="38"/>
  </w:num>
  <w:num w:numId="27">
    <w:abstractNumId w:val="22"/>
  </w:num>
  <w:num w:numId="28">
    <w:abstractNumId w:val="6"/>
  </w:num>
  <w:num w:numId="29">
    <w:abstractNumId w:val="46"/>
  </w:num>
  <w:num w:numId="30">
    <w:abstractNumId w:val="4"/>
  </w:num>
  <w:num w:numId="31">
    <w:abstractNumId w:val="69"/>
  </w:num>
  <w:num w:numId="32">
    <w:abstractNumId w:val="36"/>
  </w:num>
  <w:num w:numId="33">
    <w:abstractNumId w:val="70"/>
  </w:num>
  <w:num w:numId="34">
    <w:abstractNumId w:val="30"/>
  </w:num>
  <w:num w:numId="35">
    <w:abstractNumId w:val="24"/>
  </w:num>
  <w:num w:numId="36">
    <w:abstractNumId w:val="41"/>
  </w:num>
  <w:num w:numId="37">
    <w:abstractNumId w:val="2"/>
  </w:num>
  <w:num w:numId="38">
    <w:abstractNumId w:val="25"/>
  </w:num>
  <w:num w:numId="39">
    <w:abstractNumId w:val="17"/>
  </w:num>
  <w:num w:numId="40">
    <w:abstractNumId w:val="45"/>
  </w:num>
  <w:num w:numId="41">
    <w:abstractNumId w:val="34"/>
  </w:num>
  <w:num w:numId="42">
    <w:abstractNumId w:val="18"/>
  </w:num>
  <w:num w:numId="43">
    <w:abstractNumId w:val="48"/>
  </w:num>
  <w:num w:numId="44">
    <w:abstractNumId w:val="12"/>
  </w:num>
  <w:num w:numId="45">
    <w:abstractNumId w:val="10"/>
  </w:num>
  <w:num w:numId="46">
    <w:abstractNumId w:val="13"/>
  </w:num>
  <w:num w:numId="47">
    <w:abstractNumId w:val="35"/>
  </w:num>
  <w:num w:numId="48">
    <w:abstractNumId w:val="23"/>
  </w:num>
  <w:num w:numId="49">
    <w:abstractNumId w:val="3"/>
  </w:num>
  <w:num w:numId="50">
    <w:abstractNumId w:val="40"/>
  </w:num>
  <w:num w:numId="51">
    <w:abstractNumId w:val="56"/>
  </w:num>
  <w:num w:numId="52">
    <w:abstractNumId w:val="55"/>
  </w:num>
  <w:num w:numId="53">
    <w:abstractNumId w:val="57"/>
  </w:num>
  <w:num w:numId="54">
    <w:abstractNumId w:val="58"/>
  </w:num>
  <w:num w:numId="55">
    <w:abstractNumId w:val="59"/>
  </w:num>
  <w:num w:numId="56">
    <w:abstractNumId w:val="60"/>
  </w:num>
  <w:num w:numId="57">
    <w:abstractNumId w:val="61"/>
  </w:num>
  <w:num w:numId="58">
    <w:abstractNumId w:val="62"/>
  </w:num>
  <w:num w:numId="59">
    <w:abstractNumId w:val="39"/>
  </w:num>
  <w:num w:numId="60">
    <w:abstractNumId w:val="16"/>
  </w:num>
  <w:num w:numId="61">
    <w:abstractNumId w:val="49"/>
  </w:num>
  <w:num w:numId="62">
    <w:abstractNumId w:val="50"/>
  </w:num>
  <w:num w:numId="63">
    <w:abstractNumId w:val="51"/>
  </w:num>
  <w:num w:numId="64">
    <w:abstractNumId w:val="52"/>
  </w:num>
  <w:num w:numId="65">
    <w:abstractNumId w:val="53"/>
  </w:num>
  <w:num w:numId="66">
    <w:abstractNumId w:val="54"/>
  </w:num>
  <w:num w:numId="67">
    <w:abstractNumId w:val="63"/>
  </w:num>
  <w:num w:numId="68">
    <w:abstractNumId w:val="64"/>
  </w:num>
  <w:num w:numId="69">
    <w:abstractNumId w:val="15"/>
  </w:num>
  <w:num w:numId="70">
    <w:abstractNumId w:val="65"/>
  </w:num>
  <w:num w:numId="71">
    <w:abstractNumId w:val="66"/>
  </w:num>
  <w:num w:numId="72">
    <w:abstractNumId w:val="67"/>
  </w:num>
  <w:num w:numId="73">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141BE"/>
    <w:rsid w:val="00232E3B"/>
    <w:rsid w:val="0023532C"/>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C74C9"/>
    <w:rsid w:val="008D78BD"/>
    <w:rsid w:val="008E13C5"/>
    <w:rsid w:val="00901BED"/>
    <w:rsid w:val="00902D93"/>
    <w:rsid w:val="00914DAB"/>
    <w:rsid w:val="00993044"/>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96F"/>
    <w:rsid w:val="00EB473B"/>
    <w:rsid w:val="00EE319D"/>
    <w:rsid w:val="00F0077E"/>
    <w:rsid w:val="00F50192"/>
    <w:rsid w:val="00F5498F"/>
    <w:rsid w:val="00F5749D"/>
    <w:rsid w:val="00F8181B"/>
    <w:rsid w:val="00FA0296"/>
    <w:rsid w:val="00FA6CE7"/>
    <w:rsid w:val="00FE2923"/>
    <w:rsid w:val="02562BF7"/>
    <w:rsid w:val="02FF6A3A"/>
    <w:rsid w:val="03BA3F56"/>
    <w:rsid w:val="0460442C"/>
    <w:rsid w:val="04CC55AF"/>
    <w:rsid w:val="0500018B"/>
    <w:rsid w:val="05B13762"/>
    <w:rsid w:val="07376664"/>
    <w:rsid w:val="09130B13"/>
    <w:rsid w:val="0B1A5A6E"/>
    <w:rsid w:val="0B2D0BA7"/>
    <w:rsid w:val="0B9F06D4"/>
    <w:rsid w:val="0BFD0501"/>
    <w:rsid w:val="0C583EF5"/>
    <w:rsid w:val="0D6706EF"/>
    <w:rsid w:val="0DBE77E4"/>
    <w:rsid w:val="0E2830EC"/>
    <w:rsid w:val="101F6BD5"/>
    <w:rsid w:val="10504FB0"/>
    <w:rsid w:val="110C5156"/>
    <w:rsid w:val="110E3B80"/>
    <w:rsid w:val="117A174C"/>
    <w:rsid w:val="118D4B5D"/>
    <w:rsid w:val="11BF48B2"/>
    <w:rsid w:val="120050A9"/>
    <w:rsid w:val="133A19E0"/>
    <w:rsid w:val="13FC36E3"/>
    <w:rsid w:val="1442705A"/>
    <w:rsid w:val="14AD62A1"/>
    <w:rsid w:val="155F3FC2"/>
    <w:rsid w:val="15841F16"/>
    <w:rsid w:val="15C972B9"/>
    <w:rsid w:val="15FFB4E2"/>
    <w:rsid w:val="162A128A"/>
    <w:rsid w:val="16563388"/>
    <w:rsid w:val="17432384"/>
    <w:rsid w:val="17611875"/>
    <w:rsid w:val="1783542D"/>
    <w:rsid w:val="179972B0"/>
    <w:rsid w:val="18FC27C6"/>
    <w:rsid w:val="1B757EAF"/>
    <w:rsid w:val="1CAD01AC"/>
    <w:rsid w:val="1D4F0AE0"/>
    <w:rsid w:val="1D866C77"/>
    <w:rsid w:val="1D9446FE"/>
    <w:rsid w:val="1DFF113E"/>
    <w:rsid w:val="1E831DF3"/>
    <w:rsid w:val="1E856DEB"/>
    <w:rsid w:val="1F3C1565"/>
    <w:rsid w:val="20BD2325"/>
    <w:rsid w:val="24A67BC4"/>
    <w:rsid w:val="25801A05"/>
    <w:rsid w:val="27CE3874"/>
    <w:rsid w:val="27EB3D24"/>
    <w:rsid w:val="28B13D99"/>
    <w:rsid w:val="2A4135AD"/>
    <w:rsid w:val="2AD52CEA"/>
    <w:rsid w:val="2B683C5D"/>
    <w:rsid w:val="2B8255D3"/>
    <w:rsid w:val="2BBA7A85"/>
    <w:rsid w:val="2CED7384"/>
    <w:rsid w:val="2D131CD0"/>
    <w:rsid w:val="2DD45D89"/>
    <w:rsid w:val="307B1E47"/>
    <w:rsid w:val="348C31DF"/>
    <w:rsid w:val="348E01C6"/>
    <w:rsid w:val="354C4323"/>
    <w:rsid w:val="35CD15B7"/>
    <w:rsid w:val="35D86BDE"/>
    <w:rsid w:val="35FD5667"/>
    <w:rsid w:val="36310E4A"/>
    <w:rsid w:val="36591675"/>
    <w:rsid w:val="372216A6"/>
    <w:rsid w:val="38663D34"/>
    <w:rsid w:val="39310E98"/>
    <w:rsid w:val="39977E11"/>
    <w:rsid w:val="3AA66AF1"/>
    <w:rsid w:val="3B885E8A"/>
    <w:rsid w:val="3BF91FE0"/>
    <w:rsid w:val="3C71421E"/>
    <w:rsid w:val="3D3D1991"/>
    <w:rsid w:val="3DF2217F"/>
    <w:rsid w:val="3E6E2E42"/>
    <w:rsid w:val="3EA23778"/>
    <w:rsid w:val="3EAC1C1C"/>
    <w:rsid w:val="3EE67142"/>
    <w:rsid w:val="3EFE04EE"/>
    <w:rsid w:val="3FCF347B"/>
    <w:rsid w:val="3FE830E5"/>
    <w:rsid w:val="3FF3288E"/>
    <w:rsid w:val="3FFF2FDA"/>
    <w:rsid w:val="40221B6B"/>
    <w:rsid w:val="41487A0A"/>
    <w:rsid w:val="42342BAA"/>
    <w:rsid w:val="425B6A60"/>
    <w:rsid w:val="426E7500"/>
    <w:rsid w:val="43685ADB"/>
    <w:rsid w:val="44045C03"/>
    <w:rsid w:val="46DB254E"/>
    <w:rsid w:val="478A2A1D"/>
    <w:rsid w:val="47C36E36"/>
    <w:rsid w:val="47FFEEA7"/>
    <w:rsid w:val="48A3615E"/>
    <w:rsid w:val="48E00B0C"/>
    <w:rsid w:val="49CB5098"/>
    <w:rsid w:val="4B7B050C"/>
    <w:rsid w:val="4B954EA0"/>
    <w:rsid w:val="4CC84C98"/>
    <w:rsid w:val="4D4708A6"/>
    <w:rsid w:val="4E754A4E"/>
    <w:rsid w:val="4E772A66"/>
    <w:rsid w:val="4E9967DA"/>
    <w:rsid w:val="4ECF30D7"/>
    <w:rsid w:val="4EDFE998"/>
    <w:rsid w:val="4F1025D9"/>
    <w:rsid w:val="4FC27339"/>
    <w:rsid w:val="502B3CEE"/>
    <w:rsid w:val="509F5AAF"/>
    <w:rsid w:val="50EE58D7"/>
    <w:rsid w:val="519E097B"/>
    <w:rsid w:val="51EB2798"/>
    <w:rsid w:val="52D92F47"/>
    <w:rsid w:val="53A84543"/>
    <w:rsid w:val="56A66316"/>
    <w:rsid w:val="5851778C"/>
    <w:rsid w:val="58A020D2"/>
    <w:rsid w:val="5A5F3178"/>
    <w:rsid w:val="5A7E2982"/>
    <w:rsid w:val="5B24597E"/>
    <w:rsid w:val="5B7358EA"/>
    <w:rsid w:val="5BEF430C"/>
    <w:rsid w:val="5C531CB6"/>
    <w:rsid w:val="5CF01D88"/>
    <w:rsid w:val="5D5C0387"/>
    <w:rsid w:val="5FDF50F0"/>
    <w:rsid w:val="608F3A1C"/>
    <w:rsid w:val="6336483C"/>
    <w:rsid w:val="636F22E5"/>
    <w:rsid w:val="646D7D7D"/>
    <w:rsid w:val="64A47711"/>
    <w:rsid w:val="64BB6AA4"/>
    <w:rsid w:val="64EB1FB1"/>
    <w:rsid w:val="65085FDD"/>
    <w:rsid w:val="66A625FE"/>
    <w:rsid w:val="66BC7D07"/>
    <w:rsid w:val="672D0717"/>
    <w:rsid w:val="68782DAE"/>
    <w:rsid w:val="69644745"/>
    <w:rsid w:val="69BC658F"/>
    <w:rsid w:val="6A042D14"/>
    <w:rsid w:val="6ABE1B22"/>
    <w:rsid w:val="6B29233B"/>
    <w:rsid w:val="6B8C2015"/>
    <w:rsid w:val="6C1B5E3A"/>
    <w:rsid w:val="6C3E06A6"/>
    <w:rsid w:val="6D966DB7"/>
    <w:rsid w:val="6DFFC3DA"/>
    <w:rsid w:val="6E9FBD1B"/>
    <w:rsid w:val="6EE209DA"/>
    <w:rsid w:val="6FDF216C"/>
    <w:rsid w:val="70597F18"/>
    <w:rsid w:val="7082330A"/>
    <w:rsid w:val="70B07D50"/>
    <w:rsid w:val="71876AC5"/>
    <w:rsid w:val="725917A9"/>
    <w:rsid w:val="73631A55"/>
    <w:rsid w:val="77B75243"/>
    <w:rsid w:val="77C21A5F"/>
    <w:rsid w:val="77D23D86"/>
    <w:rsid w:val="78DE14DC"/>
    <w:rsid w:val="792D1E0D"/>
    <w:rsid w:val="79321117"/>
    <w:rsid w:val="79EF62DB"/>
    <w:rsid w:val="7A3A7C0C"/>
    <w:rsid w:val="7A835F66"/>
    <w:rsid w:val="7A8955BC"/>
    <w:rsid w:val="7A9D6576"/>
    <w:rsid w:val="7AAF2916"/>
    <w:rsid w:val="7BBBE85A"/>
    <w:rsid w:val="7BF7B220"/>
    <w:rsid w:val="7DAE1C60"/>
    <w:rsid w:val="7DF68476"/>
    <w:rsid w:val="7EB27B45"/>
    <w:rsid w:val="7F535A03"/>
    <w:rsid w:val="7F7F7558"/>
    <w:rsid w:val="7FFBBF1D"/>
    <w:rsid w:val="9BDF7602"/>
    <w:rsid w:val="A359F53F"/>
    <w:rsid w:val="AF7F22A7"/>
    <w:rsid w:val="B77F6C8E"/>
    <w:rsid w:val="BBDD94B8"/>
    <w:rsid w:val="DDD7D223"/>
    <w:rsid w:val="DFBFAD6C"/>
    <w:rsid w:val="E235E6E6"/>
    <w:rsid w:val="E7FF9D5A"/>
    <w:rsid w:val="EEDB2018"/>
    <w:rsid w:val="EFDD886D"/>
    <w:rsid w:val="EFE74234"/>
    <w:rsid w:val="F6EBF8EA"/>
    <w:rsid w:val="FBF53B4B"/>
    <w:rsid w:val="FC7BB570"/>
    <w:rsid w:val="FEFF4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rPr>
      <w:rFonts w:cs="Times New Roman"/>
    </w:rPr>
  </w:style>
  <w:style w:type="paragraph" w:styleId="3">
    <w:name w:val="Balloon Text"/>
    <w:basedOn w:val="1"/>
    <w:link w:val="16"/>
    <w:qFormat/>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annotation subject"/>
    <w:basedOn w:val="2"/>
    <w:next w:val="2"/>
    <w:link w:val="17"/>
    <w:uiPriority w:val="0"/>
    <w:rPr>
      <w:b/>
      <w:bCs/>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List Paragraph"/>
    <w:basedOn w:val="1"/>
    <w:unhideWhenUsed/>
    <w:qFormat/>
    <w:uiPriority w:val="99"/>
    <w:pPr>
      <w:ind w:firstLine="420" w:firstLineChars="200"/>
    </w:pPr>
  </w:style>
  <w:style w:type="character" w:customStyle="1" w:styleId="15">
    <w:name w:val="批注文字 Char"/>
    <w:link w:val="2"/>
    <w:qFormat/>
    <w:uiPriority w:val="0"/>
    <w:rPr>
      <w:rFonts w:ascii="Calibri" w:hAnsi="Calibri" w:cs="黑体"/>
      <w:kern w:val="2"/>
      <w:sz w:val="21"/>
      <w:szCs w:val="24"/>
    </w:rPr>
  </w:style>
  <w:style w:type="character" w:customStyle="1" w:styleId="16">
    <w:name w:val="批注框文本 Char"/>
    <w:link w:val="3"/>
    <w:qFormat/>
    <w:uiPriority w:val="0"/>
    <w:rPr>
      <w:rFonts w:ascii="Calibri" w:hAnsi="Calibri" w:cs="黑体"/>
      <w:kern w:val="2"/>
      <w:sz w:val="18"/>
      <w:szCs w:val="18"/>
    </w:rPr>
  </w:style>
  <w:style w:type="character" w:customStyle="1" w:styleId="17">
    <w:name w:val="批注主题 Char"/>
    <w:link w:val="7"/>
    <w:qFormat/>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35656</Words>
  <Characters>37506</Characters>
  <Lines>272</Lines>
  <Paragraphs>76</Paragraphs>
  <TotalTime>0</TotalTime>
  <ScaleCrop>false</ScaleCrop>
  <LinksUpToDate>false</LinksUpToDate>
  <CharactersWithSpaces>38018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2022-11-01T19:18:00Z</dcterms:created>
  <dc:creator>Administrator</dc:creator>
  <cp:lastModifiedBy>马巧燕</cp:lastModifiedBy>
  <dcterms:modified xsi:type="dcterms:W3CDTF">2025-03-28T08:16:46Z</dcterms:modified>
  <dc:title>杭银理财幸福99XXXX理财计划合同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2052-11.8.2.12187</vt:lpwstr>
  </property>
</Properties>
</file>