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幸福99丰裕固收（稳利低波颐养款）386天25136期理财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r>
        <w:rPr>
          <w:rFonts w:ascii="宋体" w:hAnsi="宋体" w:cs="宋体"/>
          <w:sz w:val="32"/>
          <w:szCs w:val="32"/>
          <w:highlight w:val="none"/>
        </w:rPr>
        <w:br w:type="page"/>
      </w:r>
    </w:p>
    <w:p>
      <w:pPr>
        <w:jc w:val="center"/>
        <w:rPr>
          <w:rFonts w:hint="eastAsia"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幸福99丰裕固收（稳利低波颐养款）386天25136期理财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幸福99丰裕固收（稳利低波颐养款）386天25136期理财风险揭示书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幸福99丰裕固收（稳利低波颐养款）386天25136期理财产品说明书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br w:type="page"/>
      </w:r>
      <w:r>
        <w:rPr>
          <w:rFonts w:hint="eastAsia" w:ascii="宋体" w:hAnsi="宋体" w:cs="宋体"/>
          <w:b/>
          <w:bCs/>
          <w:sz w:val="44"/>
          <w:szCs w:val="44"/>
          <w:highlight w:val="none"/>
          <w:lang w:eastAsia="zh-CN"/>
        </w:rPr>
        <w:t>幸福99丰裕固收（稳利低波颐养款）386天25136期理财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lang w:val="en-US" w:eastAsia="zh-CN"/>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r>
        <w:rPr>
          <w:rFonts w:ascii="宋体" w:hAnsi="宋体" w:cs="宋体"/>
          <w:b/>
          <w:sz w:val="24"/>
          <w:highlight w:val="none"/>
        </w:rPr>
        <w:t>。</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val="0"/>
          <w:bCs/>
          <w:sz w:val="24"/>
          <w:highlight w:val="none"/>
          <w:lang w:val="en-US" w:eastAsia="zh-CN"/>
        </w:rPr>
        <w:t>本理财计划投资者适当性评估由销售机构负责，销售机构</w:t>
      </w:r>
      <w:r>
        <w:rPr>
          <w:rFonts w:hint="eastAsia" w:ascii="宋体" w:hAnsi="宋体" w:cs="宋体"/>
          <w:bCs/>
          <w:sz w:val="24"/>
          <w:highlight w:val="none"/>
        </w:rPr>
        <w:t>应确保个人投资者的风险承受能力不低于本理财计划风险评级。</w:t>
      </w:r>
      <w:r>
        <w:rPr>
          <w:rFonts w:hint="eastAsia" w:ascii="宋体" w:hAnsi="宋体" w:cs="宋体"/>
          <w:bCs/>
          <w:sz w:val="24"/>
          <w:highlight w:val="none"/>
          <w:lang w:val="en-US" w:eastAsia="zh-CN"/>
        </w:rPr>
        <w:t>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投资者（签章</w:t>
      </w:r>
      <w:bookmarkStart w:id="2" w:name="_GoBack"/>
      <w:bookmarkEnd w:id="2"/>
      <w:r>
        <w:rPr>
          <w:rFonts w:hint="eastAsia" w:ascii="宋体" w:hAnsi="宋体" w:cs="宋体"/>
          <w:color w:val="auto"/>
          <w:highlight w:val="none"/>
        </w:rPr>
        <w:t>）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幸福99丰裕固收（稳利低波颐养款）386天25136期理财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Z7002225000259</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w:t>
      </w:r>
      <w:r>
        <w:rPr>
          <w:rFonts w:hint="eastAsia" w:ascii="宋体" w:hAnsi="宋体" w:cs="宋体"/>
          <w:bCs/>
          <w:sz w:val="24"/>
          <w:highlight w:val="none"/>
          <w:lang w:val="en-US" w:eastAsia="zh-CN"/>
        </w:rPr>
        <w:t>销售文件</w:t>
      </w:r>
      <w:r>
        <w:rPr>
          <w:rFonts w:hint="eastAsia" w:ascii="宋体" w:hAnsi="宋体" w:cs="宋体"/>
          <w:bCs/>
          <w:sz w:val="24"/>
          <w:highlight w:val="none"/>
        </w:rPr>
        <w:t>。</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幸福99丰裕固收（稳利低波颐养款）386天25136期理财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幸福99丰裕固收（稳利低波颐养款）386天25136期理财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幸福99丰裕固收（稳利低波颐养款）386天25136期理财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幸福99丰裕固收（稳利低波颐养款）386天25136期理财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幸福99丰裕固收（稳利低波颐养款）386天25136期理财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幸福99丰裕固收（稳利低波颐养款）386天25136期理财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幸福99丰裕固收（稳利低波颐养款）386天25136期理财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丰裕固收25136期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本理财计划在全国银行业理财信息登记系统的登记编码是〖Z7002225000259〗，投资者可依据该编码在“中国理财网（www.chinawealth.com.cn）”查询本理财计划信息。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A份额（销售代码〖FYG25136A〗）：代销机构所有个人及机构客户。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B份额（销售代码〖FYG25136B〗）：特定代销机构新资金及特邀客户。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C份额（销售代码〖FYG25136C〗）：杭银理财直销渠道及部分代销机构客户。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D份额（银发专属）（销售代码〖FYG25136D〗）：部分代销机构客户。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E份额（幸福金桂）（销售代码〖FYG25136E〗）：部分代销机构客户。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F份额吉行乡村振兴（销售代码〖FYG25136F〗）：部分代销机构专属。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G份额（销售代码〖FYG25136G〗）：部分代销机构专属。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W份额惠享款（销售代码〖FYG25136W〗）：部分代销机构专属。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Z份额惠享款（销售代码〖FYG25136Z〗）：部分代销机构专属。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〖2025〗年〖7〗月〖15〗日-〖2025〗年〖7〗月〖21〗日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〖2026〗年〖8〗月〖12〗日，若到期日为非工作日则顺延至下一个工作日。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w:t>
            </w:r>
            <w:r>
              <w:rPr>
                <w:rFonts w:hint="eastAsia" w:ascii="宋体" w:hAnsi="宋体" w:eastAsia="宋体" w:cs="宋体"/>
                <w:bCs/>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w:t>
            </w:r>
            <w:r>
              <w:rPr>
                <w:rFonts w:hint="eastAsia" w:ascii="宋体" w:hAnsi="宋体" w:eastAsia="宋体" w:cs="宋体"/>
                <w:bCs/>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本理财计划〖B份额〗业绩比较基准为〖2.30%〗（年化）。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本理财计划〖C份额〗业绩比较基准为〖2.40%〗（年化）。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本理财计划〖D份额〗业绩比较基准为〖2.35%〗（年化）。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本理财计划〖E份额〗业绩比较基准为〖2.30%〗（年化）。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本理财计划〖F份额〗业绩比较基准为〖2.40%〗（年化）。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本理财计划〖Z份额〗业绩比较基准为〖2.40%〗（年化）。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〖F份额〗收取年化〖0.10%〗的销售服务费, 〖G份额〗收取年化〖0.40%〗的销售服务费, 〖W份额〗收取年化〖0.30%〗的销售服务费,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其中〖A份额〗、〖B份额〗、〖C份额〗、〖D份额〗、〖E份额〗、〖F份额〗、〖G份额〗对应份额每日计提销售服务费；〖W份额〗、〖Z份额〗对应份额销售服务费于产品成立日一次性收取。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〖E份额〗收取年化〖0.05%〗的固定管理费, 〖F份额〗收取年化〖0.05%〗的固定管理费, 〖G份额〗收取年化〖0.05%〗的固定管理费, 〖W份额〗收取年化〖0.05%〗的固定管理费,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w:t>
            </w:r>
            <w:r>
              <w:rPr>
                <w:rFonts w:hint="eastAsia" w:ascii="宋体" w:hAnsi="宋体" w:eastAsia="宋体" w:cs="宋体"/>
                <w:b w:val="0"/>
                <w:bCs/>
                <w:color w:val="000000"/>
                <w:kern w:val="2"/>
                <w:sz w:val="21"/>
                <w:szCs w:val="21"/>
                <w:highlight w:val="none"/>
                <w:lang w:val="en-US" w:eastAsia="zh-CN" w:bidi="ar-SA"/>
              </w:rPr>
              <w:t>管理人根据理财计划投资情况计算浮动管理费，本理财计划份额到期日（提前终止日）的折合年化收益率超过该份额业绩比较基准的部分,管理人提取〖80%〗作为浮动管理费。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3"/>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1"/>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2"/>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2"/>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8"/>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交通银行股份有限公司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中国（上海）自由贸易试验区银城中路188号</w:t>
            </w:r>
          </w:p>
        </w:tc>
      </w:tr>
      <w:tr>
        <w:tblPrEx>
          <w:tblLayout w:type="fixed"/>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95559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上海农村商业银行股份有限公司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上海市黄浦区中山东二路70号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4006962999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江苏常熟农村商业银行股份有限公司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江苏省常熟市新世纪大道58号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956020</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石嘴山银行股份有限公司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宁夏回族自治区石嘴山市大武口区朝阳西街39号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0951-96789</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汉口银行股份有限公司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湖北省武汉市江汉区建设大道933号武汉商业银行大厦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400-609-6558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江苏江南农村商业银行股份有限公司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常州市武进区延政中路9号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0519-96005</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台州银行股份有限公司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浙江省台州市路桥区南官大道92号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95371</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2"/>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3"/>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3"/>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E份额〗、〖F份额〗、〖G份额〗和销售服务费于产品成立日一次性收取的〖W份额〗、〖Z份额〗。A份额的年化销售服务费率为〖0.30%〗, B份额的年化销售服务费率为〖0.20%〗, C份额的年化销售服务费率为〖0.10%〗, D份额的年化销售服务费率为〖0.15%〗, E份额的年化销售服务费率为〖0.20%〗, F份额的年化销售服务费率为〖0.10%〗, G份额的年化销售服务费率为〖0.40%〗, W份额的年化销售服务费率为〖0.30%〗,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H2＝E2×〖0.30%〗×P÷365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H2为〖W份额〗应计提的销售服务费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E2为〖W份额〗成立日产品份额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E份额的年化固定管理费率为〖0.05%〗, F份额的年化固定管理费率为〖0.05%〗, G份额的年化固定管理费率为〖0.05%〗, W份额的年化固定管理费率为〖0.05%〗,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管理人有权</w:t>
      </w:r>
      <w:r>
        <w:rPr>
          <w:rFonts w:hint="eastAsia" w:ascii="宋体" w:hAnsi="宋体" w:cs="宋体"/>
          <w:bCs/>
          <w:color w:val="000000"/>
          <w:sz w:val="24"/>
          <w:highlight w:val="none"/>
          <w:lang w:val="en-US" w:eastAsia="zh-CN"/>
        </w:rPr>
        <w:t>根据实际运作情况</w:t>
      </w:r>
      <w:r>
        <w:rPr>
          <w:rFonts w:hint="eastAsia" w:ascii="宋体" w:hAnsi="宋体" w:cs="宋体"/>
          <w:bCs/>
          <w:color w:val="000000"/>
          <w:sz w:val="24"/>
          <w:highlight w:val="none"/>
          <w:lang w:eastAsia="zh-CN"/>
        </w:rPr>
        <w:t>减免固定管理费。</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color w:val="000000"/>
          <w:sz w:val="24"/>
          <w:highlight w:val="none"/>
        </w:rPr>
        <w:t>份额</w:t>
      </w:r>
      <w:r>
        <w:rPr>
          <w:rFonts w:hint="eastAsia" w:ascii="宋体" w:hAnsi="宋体" w:cs="宋体"/>
          <w:bCs/>
          <w:color w:val="000000"/>
          <w:sz w:val="24"/>
          <w:highlight w:val="none"/>
        </w:rPr>
        <w:t>到期日（提前终止日）的折合年化收益率超过</w:t>
      </w:r>
      <w:r>
        <w:rPr>
          <w:rFonts w:hint="eastAsia" w:ascii="宋体" w:hAnsi="宋体" w:cs="宋体"/>
          <w:sz w:val="24"/>
          <w:highlight w:val="none"/>
        </w:rPr>
        <w:t>业绩比较基准</w:t>
      </w:r>
      <w:r>
        <w:rPr>
          <w:rFonts w:hint="eastAsia" w:ascii="宋体" w:hAnsi="宋体" w:cs="宋体"/>
          <w:bCs/>
          <w:color w:val="000000"/>
          <w:sz w:val="24"/>
          <w:highlight w:val="none"/>
        </w:rPr>
        <w:t>的部分管理人收取</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作为浮动管理费。本理财计划到期日（提前终止日）的折合年化收益率若小于或等于</w:t>
      </w:r>
      <w:r>
        <w:rPr>
          <w:rFonts w:hint="eastAsia" w:ascii="宋体" w:hAnsi="宋体" w:cs="宋体"/>
          <w:sz w:val="24"/>
          <w:highlight w:val="none"/>
        </w:rPr>
        <w:t>业绩比较基准</w:t>
      </w:r>
      <w:r>
        <w:rPr>
          <w:rFonts w:hint="eastAsia" w:ascii="宋体" w:hAnsi="宋体" w:cs="宋体"/>
          <w:bCs/>
          <w:color w:val="000000"/>
          <w:sz w:val="24"/>
          <w:highlight w:val="none"/>
        </w:rPr>
        <w:t>则不收取浮动管理费。浮动管理费原则上按估值日计提，到期收取。具体计算方法如下：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×N÷365</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理财计划到期（提前终止）时应</w:t>
      </w:r>
      <w:r>
        <w:rPr>
          <w:rFonts w:hint="eastAsia" w:ascii="宋体" w:hAnsi="宋体" w:cs="宋体"/>
          <w:bCs/>
          <w:color w:val="000000"/>
          <w:sz w:val="24"/>
          <w:highlight w:val="none"/>
        </w:rPr>
        <w:t>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投资者持有</w:t>
      </w:r>
      <w:r>
        <w:rPr>
          <w:rFonts w:hint="eastAsia" w:ascii="宋体" w:hAnsi="宋体" w:cs="宋体"/>
          <w:bCs/>
          <w:color w:val="000000"/>
          <w:sz w:val="24"/>
          <w:highlight w:val="none"/>
        </w:rPr>
        <w:t>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w:t>
      </w:r>
      <w:r>
        <w:rPr>
          <w:rFonts w:hint="eastAsia" w:ascii="宋体" w:hAnsi="宋体" w:cs="宋体"/>
          <w:bCs/>
          <w:color w:val="000000"/>
          <w:sz w:val="24"/>
          <w:highlight w:val="none"/>
          <w:lang w:val="en-US" w:eastAsia="zh-CN"/>
        </w:rPr>
        <w:t>持有</w:t>
      </w:r>
      <w:r>
        <w:rPr>
          <w:rFonts w:hint="eastAsia" w:ascii="宋体" w:hAnsi="宋体" w:cs="宋体"/>
          <w:bCs/>
          <w:color w:val="000000"/>
          <w:sz w:val="24"/>
          <w:highlight w:val="none"/>
        </w:rPr>
        <w:t>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理财计划成立日之初</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理财计划到期日</w:t>
      </w:r>
      <w:r>
        <w:rPr>
          <w:rFonts w:hint="eastAsia" w:ascii="宋体" w:hAnsi="宋体" w:cs="宋体"/>
          <w:bCs/>
          <w:color w:val="000000"/>
          <w:sz w:val="24"/>
          <w:highlight w:val="none"/>
        </w:rPr>
        <w:t>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w:t>
      </w:r>
      <w:r>
        <w:rPr>
          <w:rFonts w:hint="eastAsia" w:ascii="宋体" w:hAnsi="宋体" w:cs="宋体"/>
          <w:bCs/>
          <w:color w:val="000000"/>
          <w:sz w:val="24"/>
          <w:highlight w:val="none"/>
          <w:lang w:val="en-US" w:eastAsia="zh-CN"/>
        </w:rPr>
        <w:t>为浮动管理费计提基数</w:t>
      </w:r>
    </w:p>
    <w:p>
      <w:pPr>
        <w:spacing w:line="360" w:lineRule="auto"/>
        <w:ind w:firstLine="480" w:firstLineChars="20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理财计划运作期间每单位份额的实际分红金额合计</w:t>
      </w:r>
      <w:r>
        <w:rPr>
          <w:rFonts w:hint="eastAsia" w:ascii="宋体" w:hAnsi="宋体" w:cs="宋体"/>
          <w:bCs/>
          <w:color w:val="000000"/>
          <w:sz w:val="24"/>
          <w:highlight w:val="none"/>
        </w:rPr>
        <w:t>（如有）</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7"/>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7"/>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7"/>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w:t>
      </w:r>
      <w:r>
        <w:rPr>
          <w:rFonts w:hint="eastAsia" w:ascii="宋体" w:hAnsi="宋体" w:cs="宋体"/>
          <w:bCs/>
          <w:color w:val="000000"/>
          <w:sz w:val="24"/>
          <w:szCs w:val="24"/>
          <w:highlight w:val="none"/>
        </w:rPr>
        <w:t>÷</w:t>
      </w:r>
      <w:r>
        <w:rPr>
          <w:rFonts w:hint="eastAsia" w:ascii="宋体" w:hAnsi="宋体" w:cs="宋体"/>
          <w:bCs/>
          <w:color w:val="000000"/>
          <w:sz w:val="24"/>
          <w:highlight w:val="none"/>
        </w:rPr>
        <w:t>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
          <w:sz w:val="24"/>
          <w:highlight w:val="none"/>
        </w:rPr>
        <w:t>以下示例均为假设情况，不构成业绩预测，不代表本理财计划实际投资业绩。</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扣除托管费、固定管理费、销售服务费（如有）后，投资收益率超过浮动管理费计提基数。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元，折算份额为100,000.00份,假设份额成立日（含）至估值日（含）的区间天数为362天。假设管理人提取超过</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.00%的</w:t>
      </w:r>
      <w:r>
        <w:rPr>
          <w:rFonts w:hint="eastAsia" w:ascii="宋体" w:hAnsi="宋体" w:cs="宋体"/>
          <w:bCs/>
          <w:color w:val="000000"/>
          <w:sz w:val="24"/>
          <w:highlight w:val="none"/>
          <w:lang w:val="en-US" w:eastAsia="zh-CN"/>
        </w:rPr>
        <w:t>8</w:t>
      </w:r>
      <w:r>
        <w:rPr>
          <w:rFonts w:hint="eastAsia" w:ascii="宋体" w:hAnsi="宋体" w:cs="宋体"/>
          <w:bCs/>
          <w:color w:val="000000"/>
          <w:sz w:val="24"/>
          <w:highlight w:val="none"/>
        </w:rPr>
        <w:t>0%作为浮动管理费，</w:t>
      </w:r>
      <w:r>
        <w:rPr>
          <w:rFonts w:hint="eastAsia" w:ascii="宋体" w:hAnsi="宋体" w:cs="宋体"/>
          <w:bCs/>
          <w:color w:val="000000"/>
          <w:sz w:val="24"/>
          <w:highlight w:val="none"/>
          <w:lang w:val="en-US" w:eastAsia="zh-CN"/>
        </w:rPr>
        <w:t>即浮动管理费计提基数为4.00%。</w:t>
      </w:r>
      <w:r>
        <w:rPr>
          <w:rFonts w:hint="eastAsia" w:ascii="宋体" w:hAnsi="宋体" w:cs="宋体"/>
          <w:bCs/>
          <w:color w:val="000000"/>
          <w:sz w:val="24"/>
          <w:highlight w:val="none"/>
        </w:rPr>
        <w:t>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（如有）后，如理财计划未扣除浮动管理费前的净值为1.0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w:t>
      </w:r>
      <w:r>
        <w:rPr>
          <w:rFonts w:hint="eastAsia" w:ascii="宋体" w:hAnsi="宋体" w:cs="宋体"/>
          <w:bCs/>
          <w:color w:val="000000"/>
          <w:sz w:val="24"/>
          <w:szCs w:val="24"/>
          <w:highlight w:val="none"/>
        </w:rPr>
        <w:t>÷</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362=</w:t>
      </w:r>
      <w:r>
        <w:rPr>
          <w:rFonts w:hint="eastAsia" w:ascii="宋体" w:hAnsi="宋体" w:cs="宋体"/>
          <w:bCs/>
          <w:color w:val="000000"/>
          <w:sz w:val="24"/>
          <w:highlight w:val="none"/>
          <w:lang w:val="en-US" w:eastAsia="zh-CN"/>
        </w:rPr>
        <w:t>4.18</w:t>
      </w:r>
      <w:r>
        <w:rPr>
          <w:rFonts w:hint="eastAsia" w:ascii="宋体" w:hAnsi="宋体" w:cs="宋体"/>
          <w:bCs/>
          <w:color w:val="000000"/>
          <w:sz w:val="24"/>
          <w:highlight w:val="none"/>
        </w:rPr>
        <w:t>%&gt;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.00%，即投资收益超过</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.00%，则投资管理人对超过</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.00%部分收益收取浮动管理费，浮动管理费为：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w:t>
      </w:r>
      <w:r>
        <w:rPr>
          <w:rFonts w:hint="eastAsia" w:ascii="宋体" w:hAnsi="宋体" w:cs="宋体"/>
          <w:bCs/>
          <w:color w:val="000000"/>
          <w:sz w:val="24"/>
          <w:szCs w:val="24"/>
          <w:highlight w:val="none"/>
        </w:rPr>
        <w:t>÷</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0-1)×365</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362</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=146.30</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146.30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4,003.70</w:t>
      </w:r>
      <w:r>
        <w:rPr>
          <w:rFonts w:hint="eastAsia" w:ascii="宋体" w:hAnsi="宋体" w:cs="宋体"/>
          <w:bCs/>
          <w:color w:val="000000"/>
          <w:sz w:val="24"/>
          <w:highlight w:val="none"/>
        </w:rPr>
        <w:t>（元）。</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扣除托管费、固定管理费、销售服务费（如有）后，投资收益率未达到浮动管理费计提基数。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元，折算份额为100,000.00份，假设份额成立日（含）至估值日（含）的区间天数为362天。假设管理人提取超过</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.00%的</w:t>
      </w:r>
      <w:r>
        <w:rPr>
          <w:rFonts w:hint="eastAsia" w:ascii="宋体" w:hAnsi="宋体" w:cs="宋体"/>
          <w:bCs/>
          <w:color w:val="000000"/>
          <w:sz w:val="24"/>
          <w:highlight w:val="none"/>
          <w:lang w:val="en-US" w:eastAsia="zh-CN"/>
        </w:rPr>
        <w:t>8</w:t>
      </w:r>
      <w:r>
        <w:rPr>
          <w:rFonts w:hint="eastAsia" w:ascii="宋体" w:hAnsi="宋体" w:cs="宋体"/>
          <w:bCs/>
          <w:color w:val="000000"/>
          <w:sz w:val="24"/>
          <w:highlight w:val="none"/>
        </w:rPr>
        <w:t>0%作为浮动管理费，</w:t>
      </w:r>
      <w:r>
        <w:rPr>
          <w:rFonts w:hint="eastAsia" w:ascii="宋体" w:hAnsi="宋体" w:cs="宋体"/>
          <w:bCs/>
          <w:color w:val="000000"/>
          <w:sz w:val="24"/>
          <w:highlight w:val="none"/>
          <w:lang w:val="en-US" w:eastAsia="zh-CN"/>
        </w:rPr>
        <w:t>即浮动管理费计提基数为4.00%。</w:t>
      </w:r>
      <w:r>
        <w:rPr>
          <w:rFonts w:hint="eastAsia" w:ascii="宋体" w:hAnsi="宋体" w:cs="宋体"/>
          <w:bCs/>
          <w:color w:val="000000"/>
          <w:sz w:val="24"/>
          <w:highlight w:val="none"/>
        </w:rPr>
        <w:t>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（如有）后，如理财计划未扣除浮动管理费前的净值为1.0</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，此时，(1.0</w:t>
      </w:r>
      <w:r>
        <w:rPr>
          <w:rFonts w:hint="eastAsia" w:ascii="宋体" w:hAnsi="宋体" w:cs="宋体"/>
          <w:bCs/>
          <w:color w:val="000000"/>
          <w:sz w:val="24"/>
          <w:highlight w:val="none"/>
          <w:lang w:val="en-US" w:eastAsia="zh-CN"/>
        </w:rPr>
        <w:t>362</w:t>
      </w:r>
      <w:r>
        <w:rPr>
          <w:rFonts w:hint="eastAsia" w:ascii="宋体" w:hAnsi="宋体" w:cs="宋体"/>
          <w:bCs/>
          <w:color w:val="000000"/>
          <w:sz w:val="24"/>
          <w:szCs w:val="24"/>
          <w:highlight w:val="none"/>
        </w:rPr>
        <w:t>÷</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362=</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.00%，则投资管理人不收取浮动管理费，投资者最终收益为：100,000.00×(1.0</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620</w:t>
      </w:r>
      <w:r>
        <w:rPr>
          <w:rFonts w:hint="eastAsia" w:ascii="宋体" w:hAnsi="宋体" w:cs="宋体"/>
          <w:bCs/>
          <w:color w:val="000000"/>
          <w:sz w:val="24"/>
          <w:highlight w:val="none"/>
        </w:rPr>
        <w:t>.00（元）</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元，折算份额为100,000.00份，假设份额成立日（含）至估值日（含）的区间天数为362天。假设管理人提取超过</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.00%的</w:t>
      </w:r>
      <w:r>
        <w:rPr>
          <w:rFonts w:hint="eastAsia" w:ascii="宋体" w:hAnsi="宋体" w:cs="宋体"/>
          <w:bCs/>
          <w:color w:val="000000"/>
          <w:sz w:val="24"/>
          <w:highlight w:val="none"/>
          <w:lang w:val="en-US" w:eastAsia="zh-CN"/>
        </w:rPr>
        <w:t>8</w:t>
      </w:r>
      <w:r>
        <w:rPr>
          <w:rFonts w:hint="eastAsia" w:ascii="宋体" w:hAnsi="宋体" w:cs="宋体"/>
          <w:bCs/>
          <w:color w:val="000000"/>
          <w:sz w:val="24"/>
          <w:highlight w:val="none"/>
        </w:rPr>
        <w:t>0%作为浮动管理费，</w:t>
      </w:r>
      <w:r>
        <w:rPr>
          <w:rFonts w:hint="eastAsia" w:ascii="宋体" w:hAnsi="宋体" w:cs="宋体"/>
          <w:bCs/>
          <w:color w:val="000000"/>
          <w:sz w:val="24"/>
          <w:highlight w:val="none"/>
          <w:lang w:val="en-US" w:eastAsia="zh-CN"/>
        </w:rPr>
        <w:t>即浮动管理费计提基数为4.00%。</w:t>
      </w:r>
      <w:r>
        <w:rPr>
          <w:rFonts w:hint="eastAsia" w:ascii="宋体" w:hAnsi="宋体" w:cs="宋体"/>
          <w:bCs/>
          <w:color w:val="000000"/>
          <w:sz w:val="24"/>
          <w:highlight w:val="none"/>
        </w:rPr>
        <w:t>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2"/>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7"/>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8"/>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8"/>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0"/>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1"/>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3"/>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58"/>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58"/>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58"/>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59"/>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0"/>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2"/>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3"/>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0"/>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0"/>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7"/>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7"/>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7"/>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8"/>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2"/>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2"/>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2"/>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b/>
        <w:bCs/>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7">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9">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0">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1">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2">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3">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4">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5">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6">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7">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8">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59">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0">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1">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2">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3">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4">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5">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6">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7">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8">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69">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1">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2">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2"/>
  </w:num>
  <w:num w:numId="4">
    <w:abstractNumId w:val="37"/>
  </w:num>
  <w:num w:numId="5">
    <w:abstractNumId w:val="21"/>
  </w:num>
  <w:num w:numId="6">
    <w:abstractNumId w:val="71"/>
  </w:num>
  <w:num w:numId="7">
    <w:abstractNumId w:val="32"/>
  </w:num>
  <w:num w:numId="8">
    <w:abstractNumId w:val="72"/>
  </w:num>
  <w:num w:numId="9">
    <w:abstractNumId w:val="47"/>
  </w:num>
  <w:num w:numId="10">
    <w:abstractNumId w:val="44"/>
  </w:num>
  <w:num w:numId="11">
    <w:abstractNumId w:val="30"/>
  </w:num>
  <w:num w:numId="12">
    <w:abstractNumId w:val="28"/>
  </w:num>
  <w:num w:numId="13">
    <w:abstractNumId w:val="33"/>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5"/>
  </w:num>
  <w:num w:numId="22">
    <w:abstractNumId w:val="1"/>
  </w:num>
  <w:num w:numId="23">
    <w:abstractNumId w:val="43"/>
  </w:num>
  <w:num w:numId="24">
    <w:abstractNumId w:val="29"/>
  </w:num>
  <w:num w:numId="25">
    <w:abstractNumId w:val="20"/>
  </w:num>
  <w:num w:numId="26">
    <w:abstractNumId w:val="38"/>
  </w:num>
  <w:num w:numId="27">
    <w:abstractNumId w:val="23"/>
  </w:num>
  <w:num w:numId="28">
    <w:abstractNumId w:val="6"/>
  </w:num>
  <w:num w:numId="29">
    <w:abstractNumId w:val="46"/>
  </w:num>
  <w:num w:numId="30">
    <w:abstractNumId w:val="4"/>
  </w:num>
  <w:num w:numId="31">
    <w:abstractNumId w:val="69"/>
  </w:num>
  <w:num w:numId="32">
    <w:abstractNumId w:val="36"/>
  </w:num>
  <w:num w:numId="33">
    <w:abstractNumId w:val="70"/>
  </w:num>
  <w:num w:numId="34">
    <w:abstractNumId w:val="31"/>
  </w:num>
  <w:num w:numId="35">
    <w:abstractNumId w:val="25"/>
  </w:num>
  <w:num w:numId="36">
    <w:abstractNumId w:val="41"/>
  </w:num>
  <w:num w:numId="37">
    <w:abstractNumId w:val="2"/>
  </w:num>
  <w:num w:numId="38">
    <w:abstractNumId w:val="26"/>
  </w:num>
  <w:num w:numId="39">
    <w:abstractNumId w:val="17"/>
  </w:num>
  <w:num w:numId="40">
    <w:abstractNumId w:val="45"/>
  </w:num>
  <w:num w:numId="41">
    <w:abstractNumId w:val="34"/>
  </w:num>
  <w:num w:numId="42">
    <w:abstractNumId w:val="19"/>
  </w:num>
  <w:num w:numId="43">
    <w:abstractNumId w:val="48"/>
  </w:num>
  <w:num w:numId="44">
    <w:abstractNumId w:val="12"/>
  </w:num>
  <w:num w:numId="45">
    <w:abstractNumId w:val="10"/>
  </w:num>
  <w:num w:numId="46">
    <w:abstractNumId w:val="13"/>
  </w:num>
  <w:num w:numId="47">
    <w:abstractNumId w:val="35"/>
  </w:num>
  <w:num w:numId="48">
    <w:abstractNumId w:val="24"/>
  </w:num>
  <w:num w:numId="49">
    <w:abstractNumId w:val="3"/>
  </w:num>
  <w:num w:numId="50">
    <w:abstractNumId w:val="40"/>
  </w:num>
  <w:num w:numId="51">
    <w:abstractNumId w:val="56"/>
  </w:num>
  <w:num w:numId="52">
    <w:abstractNumId w:val="55"/>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39"/>
  </w:num>
  <w:num w:numId="60">
    <w:abstractNumId w:val="16"/>
  </w:num>
  <w:num w:numId="61">
    <w:abstractNumId w:val="49"/>
  </w:num>
  <w:num w:numId="62">
    <w:abstractNumId w:val="50"/>
  </w:num>
  <w:num w:numId="63">
    <w:abstractNumId w:val="51"/>
  </w:num>
  <w:num w:numId="64">
    <w:abstractNumId w:val="52"/>
  </w:num>
  <w:num w:numId="65">
    <w:abstractNumId w:val="53"/>
  </w:num>
  <w:num w:numId="66">
    <w:abstractNumId w:val="54"/>
  </w:num>
  <w:num w:numId="67">
    <w:abstractNumId w:val="63"/>
  </w:num>
  <w:num w:numId="68">
    <w:abstractNumId w:val="64"/>
  </w:num>
  <w:num w:numId="69">
    <w:abstractNumId w:val="15"/>
  </w:num>
  <w:num w:numId="70">
    <w:abstractNumId w:val="65"/>
  </w:num>
  <w:num w:numId="71">
    <w:abstractNumId w:val="66"/>
  </w:num>
  <w:num w:numId="72">
    <w:abstractNumId w:val="67"/>
  </w:num>
  <w:num w:numId="7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7D7370"/>
    <w:rsid w:val="008207F1"/>
    <w:rsid w:val="00852C69"/>
    <w:rsid w:val="00873DE6"/>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3BA3F56"/>
    <w:rsid w:val="0460442C"/>
    <w:rsid w:val="04CC55AF"/>
    <w:rsid w:val="0500018B"/>
    <w:rsid w:val="05B13762"/>
    <w:rsid w:val="07376664"/>
    <w:rsid w:val="090677A8"/>
    <w:rsid w:val="09130B13"/>
    <w:rsid w:val="096968FC"/>
    <w:rsid w:val="0A0968C5"/>
    <w:rsid w:val="0B1A5A6E"/>
    <w:rsid w:val="0B2D0BA7"/>
    <w:rsid w:val="0C583EF5"/>
    <w:rsid w:val="0D6706EF"/>
    <w:rsid w:val="0DBE77E4"/>
    <w:rsid w:val="0E2830EC"/>
    <w:rsid w:val="101F6BD5"/>
    <w:rsid w:val="10504FB0"/>
    <w:rsid w:val="110C5156"/>
    <w:rsid w:val="110E3B80"/>
    <w:rsid w:val="117A174C"/>
    <w:rsid w:val="118D4B5D"/>
    <w:rsid w:val="11BF48B2"/>
    <w:rsid w:val="120050A9"/>
    <w:rsid w:val="12E4051B"/>
    <w:rsid w:val="133A19E0"/>
    <w:rsid w:val="13FC36E3"/>
    <w:rsid w:val="1442705A"/>
    <w:rsid w:val="14AD62A1"/>
    <w:rsid w:val="155F3FC2"/>
    <w:rsid w:val="15841F16"/>
    <w:rsid w:val="15C972B9"/>
    <w:rsid w:val="162A128A"/>
    <w:rsid w:val="16563388"/>
    <w:rsid w:val="17432384"/>
    <w:rsid w:val="17611875"/>
    <w:rsid w:val="1783542D"/>
    <w:rsid w:val="179972B0"/>
    <w:rsid w:val="18FC27C6"/>
    <w:rsid w:val="1CAD01AC"/>
    <w:rsid w:val="1D866C77"/>
    <w:rsid w:val="1D9446FE"/>
    <w:rsid w:val="1E831DF3"/>
    <w:rsid w:val="1E856DEB"/>
    <w:rsid w:val="1F3C1565"/>
    <w:rsid w:val="20BD2325"/>
    <w:rsid w:val="24A67BC4"/>
    <w:rsid w:val="25801A05"/>
    <w:rsid w:val="27CE3874"/>
    <w:rsid w:val="27EB3D24"/>
    <w:rsid w:val="28B13D99"/>
    <w:rsid w:val="2A4135AD"/>
    <w:rsid w:val="2AD52CEA"/>
    <w:rsid w:val="2B683C5D"/>
    <w:rsid w:val="2B8255D3"/>
    <w:rsid w:val="2C9E7656"/>
    <w:rsid w:val="2CED7384"/>
    <w:rsid w:val="2CF00433"/>
    <w:rsid w:val="2D131CD0"/>
    <w:rsid w:val="2D751B53"/>
    <w:rsid w:val="2DD45D89"/>
    <w:rsid w:val="307B1E47"/>
    <w:rsid w:val="3372300A"/>
    <w:rsid w:val="348C31DF"/>
    <w:rsid w:val="348E01C6"/>
    <w:rsid w:val="354C4323"/>
    <w:rsid w:val="35CD15B7"/>
    <w:rsid w:val="35D86BDE"/>
    <w:rsid w:val="35FD5667"/>
    <w:rsid w:val="36310E4A"/>
    <w:rsid w:val="36591675"/>
    <w:rsid w:val="372216A6"/>
    <w:rsid w:val="385F03D4"/>
    <w:rsid w:val="38663D34"/>
    <w:rsid w:val="39310E98"/>
    <w:rsid w:val="3AA66AF1"/>
    <w:rsid w:val="3AEC297D"/>
    <w:rsid w:val="3B885E8A"/>
    <w:rsid w:val="3D3D1991"/>
    <w:rsid w:val="3E6E2E42"/>
    <w:rsid w:val="3EA23778"/>
    <w:rsid w:val="3EAC1C1C"/>
    <w:rsid w:val="3EDC7FBA"/>
    <w:rsid w:val="3EE67142"/>
    <w:rsid w:val="3EFE04EE"/>
    <w:rsid w:val="3FCF347B"/>
    <w:rsid w:val="3FE830E5"/>
    <w:rsid w:val="40221B6B"/>
    <w:rsid w:val="41487A0A"/>
    <w:rsid w:val="42342BAA"/>
    <w:rsid w:val="425B6A60"/>
    <w:rsid w:val="426E7500"/>
    <w:rsid w:val="43685ADB"/>
    <w:rsid w:val="44045C03"/>
    <w:rsid w:val="46DB254E"/>
    <w:rsid w:val="47C36E36"/>
    <w:rsid w:val="48A3615E"/>
    <w:rsid w:val="48E00B0C"/>
    <w:rsid w:val="4B954EA0"/>
    <w:rsid w:val="4C245EA4"/>
    <w:rsid w:val="4CC84C98"/>
    <w:rsid w:val="4E754A4E"/>
    <w:rsid w:val="4E9967DA"/>
    <w:rsid w:val="4F1025D9"/>
    <w:rsid w:val="4FC27339"/>
    <w:rsid w:val="502B3CEE"/>
    <w:rsid w:val="50544F23"/>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608F3A1C"/>
    <w:rsid w:val="6336483C"/>
    <w:rsid w:val="646D7D7D"/>
    <w:rsid w:val="64A47711"/>
    <w:rsid w:val="64BB6AA4"/>
    <w:rsid w:val="64EB1FB1"/>
    <w:rsid w:val="65085FDD"/>
    <w:rsid w:val="66A625FE"/>
    <w:rsid w:val="66BC7D07"/>
    <w:rsid w:val="66FC1953"/>
    <w:rsid w:val="672D0717"/>
    <w:rsid w:val="68782DAE"/>
    <w:rsid w:val="69644745"/>
    <w:rsid w:val="69BC658F"/>
    <w:rsid w:val="6ABE1B22"/>
    <w:rsid w:val="6B29233B"/>
    <w:rsid w:val="6B8C2015"/>
    <w:rsid w:val="6C1B5E3A"/>
    <w:rsid w:val="6C3E06A6"/>
    <w:rsid w:val="6D966DB7"/>
    <w:rsid w:val="6E180FF0"/>
    <w:rsid w:val="6EE209DA"/>
    <w:rsid w:val="70597F18"/>
    <w:rsid w:val="7082330A"/>
    <w:rsid w:val="725917A9"/>
    <w:rsid w:val="73631A55"/>
    <w:rsid w:val="774820A9"/>
    <w:rsid w:val="77B75243"/>
    <w:rsid w:val="77C21A5F"/>
    <w:rsid w:val="77D23D86"/>
    <w:rsid w:val="792D1E0D"/>
    <w:rsid w:val="79321117"/>
    <w:rsid w:val="7A3A7C0C"/>
    <w:rsid w:val="7A835F66"/>
    <w:rsid w:val="7A8955BC"/>
    <w:rsid w:val="7A9D6576"/>
    <w:rsid w:val="7DAE1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rPr>
      <w:rFonts w:cs="Times New Roman"/>
    </w:rPr>
  </w:style>
  <w:style w:type="paragraph" w:styleId="3">
    <w:name w:val="Balloon Text"/>
    <w:basedOn w:val="1"/>
    <w:link w:val="16"/>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主题 Char"/>
    <w:link w:val="7"/>
    <w:uiPriority w:val="0"/>
    <w:rPr>
      <w:rFonts w:ascii="Calibri" w:hAnsi="Calibri" w:cs="黑体"/>
      <w:b/>
      <w:bCs/>
      <w:kern w:val="2"/>
      <w:sz w:val="21"/>
      <w:szCs w:val="24"/>
    </w:rPr>
  </w:style>
  <w:style w:type="character" w:customStyle="1" w:styleId="16">
    <w:name w:val="批注框文本 Char"/>
    <w:link w:val="3"/>
    <w:uiPriority w:val="0"/>
    <w:rPr>
      <w:rFonts w:ascii="Calibri" w:hAnsi="Calibri" w:cs="黑体"/>
      <w:kern w:val="2"/>
      <w:sz w:val="18"/>
      <w:szCs w:val="18"/>
    </w:rPr>
  </w:style>
  <w:style w:type="character" w:customStyle="1" w:styleId="17">
    <w:name w:val="批注文字 Char"/>
    <w:link w:val="2"/>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5726</Words>
  <Characters>32640</Characters>
  <Lines>272</Lines>
  <Paragraphs>76</Paragraphs>
  <TotalTime>0</TotalTime>
  <ScaleCrop>false</ScaleCrop>
  <LinksUpToDate>false</LinksUpToDate>
  <CharactersWithSpaces>38290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2022-10-31T03:18:00Z</dcterms:created>
  <dc:creator>Administrator</dc:creator>
  <cp:lastModifiedBy>hccb</cp:lastModifiedBy>
  <dcterms:modified xsi:type="dcterms:W3CDTF">2025-07-10T09:05:42Z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